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D3B3" w14:textId="77777777" w:rsidR="00D27F61" w:rsidRDefault="00D27F61" w:rsidP="00357D8F">
      <w:pPr>
        <w:ind w:left="5103"/>
        <w:jc w:val="both"/>
        <w:rPr>
          <w:rFonts w:ascii="Times New Roman" w:hAnsi="Times New Roman"/>
        </w:rPr>
      </w:pPr>
      <w:r>
        <w:rPr>
          <w:rFonts w:ascii="Times New Roman" w:hAnsi="Times New Roman"/>
        </w:rPr>
        <w:t>Додаток  3</w:t>
      </w:r>
    </w:p>
    <w:p w14:paraId="24714D93" w14:textId="77777777" w:rsidR="00D27F61" w:rsidRDefault="00D27F61" w:rsidP="00357D8F">
      <w:pPr>
        <w:ind w:left="5103"/>
        <w:jc w:val="both"/>
        <w:rPr>
          <w:rFonts w:ascii="Times New Roman" w:hAnsi="Times New Roman"/>
        </w:rPr>
      </w:pPr>
      <w:r>
        <w:rPr>
          <w:rFonts w:ascii="Times New Roman" w:hAnsi="Times New Roman"/>
        </w:rPr>
        <w:t>до Договору електропостачальника про надання послуг з розподілу (передачі) електричної енергії</w:t>
      </w:r>
    </w:p>
    <w:p w14:paraId="29B9C82F" w14:textId="77777777" w:rsidR="00D27F61" w:rsidRDefault="00D27F61" w:rsidP="00357D8F">
      <w:pPr>
        <w:rPr>
          <w:rFonts w:ascii="Times New Roman" w:hAnsi="Times New Roman"/>
        </w:rPr>
      </w:pPr>
    </w:p>
    <w:p w14:paraId="57418D5D" w14:textId="77777777" w:rsidR="00D27F61" w:rsidRPr="00CA4A86" w:rsidRDefault="00D27F61" w:rsidP="003A52C7">
      <w:pPr>
        <w:jc w:val="center"/>
        <w:rPr>
          <w:rFonts w:ascii="Times New Roman" w:hAnsi="Times New Roman"/>
          <w:b/>
        </w:rPr>
      </w:pPr>
      <w:r w:rsidRPr="00CA4A86">
        <w:rPr>
          <w:rFonts w:ascii="Times New Roman" w:hAnsi="Times New Roman"/>
          <w:b/>
        </w:rPr>
        <w:t>Інформаційна взаємодія на ринку електричної енергії</w:t>
      </w:r>
    </w:p>
    <w:p w14:paraId="08D8FDE8" w14:textId="77777777" w:rsidR="00D27F61" w:rsidRPr="00CA4A86" w:rsidRDefault="00D27F61" w:rsidP="003A52C7">
      <w:pPr>
        <w:jc w:val="center"/>
        <w:rPr>
          <w:rFonts w:ascii="Times New Roman" w:hAnsi="Times New Roman"/>
          <w:b/>
        </w:rPr>
      </w:pPr>
      <w:r w:rsidRPr="00CA4A86">
        <w:rPr>
          <w:rFonts w:ascii="Times New Roman" w:hAnsi="Times New Roman"/>
          <w:b/>
        </w:rPr>
        <w:t>між Оператором системи електричної енергії та Постачальником</w:t>
      </w:r>
    </w:p>
    <w:p w14:paraId="07916DF3" w14:textId="77777777" w:rsidR="00D27F61" w:rsidRPr="00CA4A86" w:rsidRDefault="00D27F61" w:rsidP="003A52C7">
      <w:pPr>
        <w:jc w:val="center"/>
        <w:rPr>
          <w:rFonts w:ascii="Times New Roman" w:hAnsi="Times New Roman"/>
          <w:b/>
        </w:rPr>
      </w:pPr>
    </w:p>
    <w:p w14:paraId="7133AD62" w14:textId="77777777" w:rsidR="00D27F61" w:rsidRDefault="00D27F61" w:rsidP="00516DB4">
      <w:pPr>
        <w:pStyle w:val="ab"/>
        <w:numPr>
          <w:ilvl w:val="0"/>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Оператор системи зобов'язується:</w:t>
      </w:r>
    </w:p>
    <w:p w14:paraId="668F8BF3"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Вести розрахунковий комерційний облік обсягів електричної енергії та потужності, що постачається Постачальником до споживачів, відповідно до діючих нормативно-правових актів та технічних документів;</w:t>
      </w:r>
    </w:p>
    <w:p w14:paraId="2BF8D327" w14:textId="77777777" w:rsidR="00D27F61" w:rsidRDefault="00D27F61" w:rsidP="00516DB4">
      <w:pPr>
        <w:pStyle w:val="ab"/>
        <w:numPr>
          <w:ilvl w:val="2"/>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Здійснювати прийом, розгляд та погодження документів, необхідних Постачальнику для здійснення закупівлі електричної енергії на організованих сегментах ринку електричної енергії, у порядку та у строки, передбачені відповідними нормативно-правовими актами.</w:t>
      </w:r>
    </w:p>
    <w:p w14:paraId="03C94BE6" w14:textId="77777777" w:rsidR="00D27F61" w:rsidRDefault="00D27F61" w:rsidP="00516DB4">
      <w:pPr>
        <w:pStyle w:val="ab"/>
        <w:numPr>
          <w:ilvl w:val="2"/>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до 16:00 год. 7 числа місяця, наступного за розрахунковим, надає Постачальнику електронною поштою підписаний КЕП уповноваженої особи фактичні (звітні) обсяги купівлі електричної енергії по електропостачальнику у розрахунковому періоді, у т. ч. з розбивкою по групі «а» та групі «б», які сформовані на підставі фактичних обсягів надходження електричної енергії (споживання електричної енергії «брутто») до електричних мереж та фактичного корисного відпуску електричної енергії по кожному споживачу за місцем провадження господарської діяльності з розподілу електричної енергії.</w:t>
      </w:r>
    </w:p>
    <w:p w14:paraId="5C716A07"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Повертати, без узгодження, для виправлення документи, подані Постачальником на узгодження до Оператора системи, у разі виявлення помилок;</w:t>
      </w:r>
    </w:p>
    <w:p w14:paraId="05FD8695"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Проводити оформлення Акту виконаних робіт/послуг з розподілу електричної енергії;</w:t>
      </w:r>
    </w:p>
    <w:p w14:paraId="6A20B527"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Забезпечувати надання до платформи Marketmanagementsystem (MMS) Адміністратора розрахунків погодинних данних комерційного обліку на території ліцензованої діяльності Оператора системи відповідно до діючих нормативно-правових актів та технічних документів: зокрема, добові (погодинні) графіки споживання електричної енергії клієнтами Постачальника окремо за групами «А» та «Б» (по території ліцензованої діяльності Оператора системи);</w:t>
      </w:r>
    </w:p>
    <w:p w14:paraId="03D28DC3"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11, 21 числа розрахункового місяця, 01 числа місяця, наступного за розрахунковим періодом, а також після формування та передачі до платформи MMS даних комерційного обліку для виконання процедури врегулювання небалансів (у визначені Адміністратором Розрахунків терміни), надавати Постачальнику електронною поштою агреговані розрахункові погодинні дані про споживання електроенергії споживачами групи А та Б, а також розрахункові погодинні дані про споживання електроенергії в розрізі клієнтів групи А Постачальника відповідно за 10, 20 діб та розрахунковий місяць. У разі, якщо дата винекнення зобов’язань Оператора системи з формування та відправки звітів припадає на святковий день, то дані направляються на наступний за святковим робочий день;</w:t>
      </w:r>
    </w:p>
    <w:p w14:paraId="3F95173B"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При дотриманні відповідних норм допуску забезпечувати допуск представників Постачальника до розрахункових засобів обліку споживачів, що встановлені на підстанціях Оператора системи, протягом 3-х днів з моменту письмового звернення Постачальника;</w:t>
      </w:r>
    </w:p>
    <w:p w14:paraId="55A8FE69"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Вводити за вказівкою відповідних суб’єктів ринку електричної енергії графіки обмеження, аварійного відключення, графіки місцевого розвантаження потужності та інші заходи відповідно до нормативно-правових актів для запобігання порушень режимів роботи об'єднаної енергетичної системи України, пов'язаних з дефіцитом потужності і електроенергії, зниженням частоти, порушенням режимів допустимих перетоків і навантаження мережних елементів;</w:t>
      </w:r>
    </w:p>
    <w:p w14:paraId="4F34E307"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Забезпечувати відповідно до діючих нормативно-правових актів та технічних документів контроль за дотриманням споживачами Постачальника оперативно-диспетчерської дисципліни, режимів споживання електроенергії та потужності;</w:t>
      </w:r>
    </w:p>
    <w:p w14:paraId="3AF65810"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За письмовою заявою Постачальника проводити припинення або обмеження, у встановлених випадках,  постачання електричної енергії споживачам Постачальника відповідно до нормативно-правових актів та Додатку № 4 до цього Договору. У цьому випадку відповідальність за правомірність вимоги щодо припинення або обмеження електропостачання споживача несе Постачальник;</w:t>
      </w:r>
    </w:p>
    <w:p w14:paraId="179D3375"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Повідомляти Постачальника про застосування графіків обмежень і аварійних відключень, час їх початку та закінчення, величину зниження споживання та потужності.</w:t>
      </w:r>
    </w:p>
    <w:p w14:paraId="04CBDA96" w14:textId="77777777" w:rsidR="00D27F61" w:rsidRDefault="00D27F61" w:rsidP="00516DB4">
      <w:pPr>
        <w:pStyle w:val="ab"/>
        <w:spacing w:after="0" w:line="240" w:lineRule="auto"/>
        <w:ind w:left="0" w:firstLine="567"/>
        <w:jc w:val="both"/>
        <w:rPr>
          <w:rFonts w:ascii="Times New Roman" w:hAnsi="Times New Roman"/>
          <w:sz w:val="24"/>
          <w:szCs w:val="24"/>
        </w:rPr>
      </w:pPr>
    </w:p>
    <w:p w14:paraId="1B8D601F" w14:textId="77777777" w:rsidR="00D27F61" w:rsidRDefault="00D27F61" w:rsidP="00516DB4">
      <w:pPr>
        <w:pStyle w:val="ab"/>
        <w:numPr>
          <w:ilvl w:val="0"/>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Постачальник зобов'язується:</w:t>
      </w:r>
    </w:p>
    <w:p w14:paraId="19AD3E82"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До 20-числа місяця, що передує розрахунковому та протягом 3 робочих днів після зміну складу площадок вимірювання споживачів або форми оплати за розподіл (по території ліцензованої діяльності Оператора системи) надавати Оператору системи розподулу на електронну пошту </w:t>
      </w:r>
      <w:r>
        <w:t>_________________________</w:t>
      </w:r>
      <w:r>
        <w:rPr>
          <w:rFonts w:ascii="Times New Roman" w:hAnsi="Times New Roman"/>
          <w:sz w:val="24"/>
          <w:szCs w:val="24"/>
        </w:rPr>
        <w:t xml:space="preserve"> підписаний ЕЦП з позначкою часу уповноваженої особи Постачальника  реєстр споживачів Постачальника із зазначенням обраної форми оплати споживачами за послугу з розподілу, а саме «забезпечується Постачальником» або «забезпечується Споживачем» системи за формою 1. </w:t>
      </w:r>
    </w:p>
    <w:p w14:paraId="2643D260"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До 16:00 год. 08 числа місяця наступного за розрахунковим, узгоджувати з Оператором системи фактичні сумарні обсяги купівлі електричної енергії у розрахунковому місяці.</w:t>
      </w:r>
    </w:p>
    <w:p w14:paraId="12EA7BDA"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Надавати іншу інформацію та дані у порядку та строки, передбачені діючими нормативними актами та документами, у тому числі інформувати Оператора системи щодо укладення договору про постачання електричної енергії зі споживачем та обрану форму оплати за послугу з розподілу, а саме «забезпечується Постачальником» або «забезпечується Споживачем».</w:t>
      </w:r>
    </w:p>
    <w:p w14:paraId="489E1EE8"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Узгоджувати з Оператором системи фактичні обсяги постачання електричної енергії за споживачами групи А та Б.</w:t>
      </w:r>
    </w:p>
    <w:p w14:paraId="75147369" w14:textId="77777777" w:rsidR="00D27F61" w:rsidRDefault="00D27F61" w:rsidP="00516DB4">
      <w:pPr>
        <w:pStyle w:val="ab"/>
        <w:numPr>
          <w:ilvl w:val="0"/>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За взаємною згодою Сторін, може бути передбачений додатковий обсяг та/або порядок щодо здійснення інформаційного обміну та співпраці, який не врегульований нормативними актами, або врегульований по іншому.</w:t>
      </w:r>
    </w:p>
    <w:p w14:paraId="2C9C67C6" w14:textId="77777777" w:rsidR="00D27F61" w:rsidRDefault="00D27F61" w:rsidP="00516DB4">
      <w:pPr>
        <w:pStyle w:val="ab"/>
        <w:numPr>
          <w:ilvl w:val="0"/>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З метою виконання вимог Тимчасового порядку визначення обсягів купівлі е/е на ОРЕ постачальниками та Оператором системи на перехідний період до дати початку дії нового РЕЕ сторони домовились про наступне:</w:t>
      </w:r>
    </w:p>
    <w:p w14:paraId="0745EEAD"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Сторонами складається відповідний акт, при необхідності з залученням Оператора АСКОЕ споживача (за наявності), електропостачальника з дотриманням вимог і процедур перевірки, встановлених Кодексом комерційного обліку електричної енергії, щодо переведення площадок вимірювання групи «а» до групи «б» споживачів Постачальника.</w:t>
      </w:r>
    </w:p>
    <w:p w14:paraId="20E20ADD"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Погодження/підписання Акту, може здійснюватися Сторонами, з допомогою ІТ-засобів. В такому разі Сторони визнають, що обмін Актом, складеним однією з Сторін, з допомогою ІТ-засобів, є належним дотриманням порядку складання такого Акту.</w:t>
      </w:r>
    </w:p>
    <w:p w14:paraId="1AC7739D"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Сторона, що отримала такий Акт (незалежно від способу його направлення), повинна не пізніше ніж на наступний робочий день повернути його іншій Стороні з підписом або надати обґрунтовані зауваження до такого Акту. У разі неповернення та відсутності зауважень, Акт вважається погодженим на другий робочий день після його відправки.  </w:t>
      </w:r>
    </w:p>
    <w:p w14:paraId="70AB11C5" w14:textId="77777777" w:rsidR="00D27F61" w:rsidRDefault="00D27F61" w:rsidP="00516DB4">
      <w:pPr>
        <w:pStyle w:val="ab"/>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Оператор системи повідомляє Постачальника, споживача та оператора АСКОЕ про дату складення відповідного акту (за формою 2, зразок якої додається до цього Додатку до Договору) не пізніше ніж за п’ять днів до дати складання такого акту.</w:t>
      </w:r>
    </w:p>
    <w:p w14:paraId="6DD59432" w14:textId="77777777" w:rsidR="00D27F61" w:rsidRDefault="00D27F61" w:rsidP="00357D8F">
      <w:pPr>
        <w:jc w:val="both"/>
        <w:rPr>
          <w:rFonts w:ascii="Times New Roman" w:hAnsi="Times New Roman"/>
        </w:rPr>
      </w:pPr>
    </w:p>
    <w:p w14:paraId="35A33614" w14:textId="77777777" w:rsidR="00C56720" w:rsidRPr="00312EDE" w:rsidRDefault="00C56720" w:rsidP="00C56720">
      <w:pPr>
        <w:pStyle w:val="a5"/>
        <w:spacing w:before="0" w:beforeAutospacing="0" w:after="0" w:afterAutospacing="0"/>
        <w:jc w:val="both"/>
        <w:rPr>
          <w:lang w:val="uk-UA"/>
        </w:rPr>
      </w:pPr>
      <w:r w:rsidRPr="00312EDE">
        <w:rPr>
          <w:b/>
          <w:bCs/>
          <w:lang w:val="uk-UA"/>
        </w:rPr>
        <w:t>Оператор системи                                                           Постачальник</w:t>
      </w:r>
    </w:p>
    <w:p w14:paraId="515E771B" w14:textId="77777777" w:rsidR="00C56720" w:rsidRPr="00312EDE" w:rsidRDefault="00C56720" w:rsidP="00C56720">
      <w:pPr>
        <w:pStyle w:val="a5"/>
        <w:spacing w:before="0" w:beforeAutospacing="0" w:after="0" w:afterAutospacing="0"/>
        <w:jc w:val="both"/>
        <w:rPr>
          <w:lang w:val="uk-UA"/>
        </w:rPr>
      </w:pPr>
    </w:p>
    <w:p w14:paraId="300C187B" w14:textId="77777777" w:rsidR="00C56720" w:rsidRPr="00312EDE" w:rsidRDefault="00C56720" w:rsidP="00C56720">
      <w:pPr>
        <w:pStyle w:val="a5"/>
        <w:spacing w:before="0" w:beforeAutospacing="0" w:after="0" w:afterAutospacing="0"/>
        <w:jc w:val="both"/>
        <w:rPr>
          <w:lang w:val="uk-UA"/>
        </w:rPr>
      </w:pPr>
    </w:p>
    <w:p w14:paraId="698775BD" w14:textId="77777777" w:rsidR="00C56720" w:rsidRPr="00312EDE" w:rsidRDefault="00C56720" w:rsidP="00C56720">
      <w:pPr>
        <w:tabs>
          <w:tab w:val="left" w:pos="1276"/>
        </w:tabs>
        <w:ind w:firstLine="709"/>
        <w:jc w:val="both"/>
        <w:rPr>
          <w:rFonts w:ascii="Times New Roman" w:hAnsi="Times New Roman"/>
        </w:rPr>
      </w:pPr>
    </w:p>
    <w:p w14:paraId="0CBCB36C" w14:textId="77777777" w:rsidR="00C56720" w:rsidRPr="00312EDE" w:rsidRDefault="00C56720" w:rsidP="00C56720">
      <w:pPr>
        <w:spacing w:line="1" w:lineRule="exact"/>
      </w:pPr>
    </w:p>
    <w:p w14:paraId="3E3BEEF5" w14:textId="77777777" w:rsidR="00D27F61" w:rsidRPr="00C74157" w:rsidRDefault="00D27F61" w:rsidP="00C56720">
      <w:pPr>
        <w:pStyle w:val="a5"/>
        <w:spacing w:before="0" w:beforeAutospacing="0" w:after="0" w:afterAutospacing="0"/>
        <w:jc w:val="both"/>
      </w:pPr>
    </w:p>
    <w:sectPr w:rsidR="00D27F61" w:rsidRPr="00C74157" w:rsidSect="00357D8F">
      <w:headerReference w:type="default" r:id="rId7"/>
      <w:pgSz w:w="11900" w:h="16840"/>
      <w:pgMar w:top="514" w:right="439" w:bottom="232" w:left="9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FA1A" w14:textId="77777777" w:rsidR="00A4301A" w:rsidRDefault="00A4301A">
      <w:r>
        <w:separator/>
      </w:r>
    </w:p>
  </w:endnote>
  <w:endnote w:type="continuationSeparator" w:id="0">
    <w:p w14:paraId="2C40EABE" w14:textId="77777777" w:rsidR="00A4301A" w:rsidRDefault="00A4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34A9" w14:textId="77777777" w:rsidR="00A4301A" w:rsidRDefault="00A4301A"/>
  </w:footnote>
  <w:footnote w:type="continuationSeparator" w:id="0">
    <w:p w14:paraId="593F20B5" w14:textId="77777777" w:rsidR="00A4301A" w:rsidRDefault="00A43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024E" w14:textId="32101666" w:rsidR="00D27F61" w:rsidRDefault="00A272DF">
    <w:pPr>
      <w:pStyle w:val="a6"/>
    </w:pPr>
    <w:r>
      <w:rPr>
        <w:noProof/>
      </w:rPr>
      <w:drawing>
        <wp:inline distT="0" distB="0" distL="0" distR="0" wp14:anchorId="47C4B837" wp14:editId="5F78A2F2">
          <wp:extent cx="4076700" cy="624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53D9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AA"/>
    <w:rsid w:val="00015548"/>
    <w:rsid w:val="00015BBB"/>
    <w:rsid w:val="00050D86"/>
    <w:rsid w:val="000B353E"/>
    <w:rsid w:val="000F56C1"/>
    <w:rsid w:val="00101665"/>
    <w:rsid w:val="001523F9"/>
    <w:rsid w:val="00162BA3"/>
    <w:rsid w:val="00175659"/>
    <w:rsid w:val="00192315"/>
    <w:rsid w:val="001B6AC4"/>
    <w:rsid w:val="001C17B3"/>
    <w:rsid w:val="0026068A"/>
    <w:rsid w:val="00263155"/>
    <w:rsid w:val="00296049"/>
    <w:rsid w:val="002F1B23"/>
    <w:rsid w:val="00311497"/>
    <w:rsid w:val="00317B3E"/>
    <w:rsid w:val="00357D8F"/>
    <w:rsid w:val="0036706E"/>
    <w:rsid w:val="003759AA"/>
    <w:rsid w:val="003902B5"/>
    <w:rsid w:val="003A52C7"/>
    <w:rsid w:val="003B59A4"/>
    <w:rsid w:val="003F7239"/>
    <w:rsid w:val="003F7426"/>
    <w:rsid w:val="00406AC8"/>
    <w:rsid w:val="00407F72"/>
    <w:rsid w:val="00516DB4"/>
    <w:rsid w:val="00520195"/>
    <w:rsid w:val="00526255"/>
    <w:rsid w:val="0054472E"/>
    <w:rsid w:val="00557594"/>
    <w:rsid w:val="00567B85"/>
    <w:rsid w:val="005775B2"/>
    <w:rsid w:val="006B0747"/>
    <w:rsid w:val="006C121B"/>
    <w:rsid w:val="00847237"/>
    <w:rsid w:val="008768C9"/>
    <w:rsid w:val="00894604"/>
    <w:rsid w:val="00961CCA"/>
    <w:rsid w:val="00991553"/>
    <w:rsid w:val="009A233B"/>
    <w:rsid w:val="009B72BC"/>
    <w:rsid w:val="009E3B8D"/>
    <w:rsid w:val="009F50A1"/>
    <w:rsid w:val="00A272DF"/>
    <w:rsid w:val="00A4301A"/>
    <w:rsid w:val="00AA0BA8"/>
    <w:rsid w:val="00AB0232"/>
    <w:rsid w:val="00AB26DB"/>
    <w:rsid w:val="00AB48AF"/>
    <w:rsid w:val="00AB57A6"/>
    <w:rsid w:val="00AC6A38"/>
    <w:rsid w:val="00B0371E"/>
    <w:rsid w:val="00B17CE9"/>
    <w:rsid w:val="00B17DD7"/>
    <w:rsid w:val="00B659E5"/>
    <w:rsid w:val="00BE1ED3"/>
    <w:rsid w:val="00C5513F"/>
    <w:rsid w:val="00C56720"/>
    <w:rsid w:val="00C66CCB"/>
    <w:rsid w:val="00C74157"/>
    <w:rsid w:val="00CA4A86"/>
    <w:rsid w:val="00D27F61"/>
    <w:rsid w:val="00D35041"/>
    <w:rsid w:val="00D51BA9"/>
    <w:rsid w:val="00D777CA"/>
    <w:rsid w:val="00DA58B5"/>
    <w:rsid w:val="00DE6948"/>
    <w:rsid w:val="00DF1A80"/>
    <w:rsid w:val="00E34416"/>
    <w:rsid w:val="00E4135C"/>
    <w:rsid w:val="00E50CBD"/>
    <w:rsid w:val="00E90150"/>
    <w:rsid w:val="00E93A3E"/>
    <w:rsid w:val="00EA3751"/>
    <w:rsid w:val="00EE069B"/>
    <w:rsid w:val="00F71D74"/>
    <w:rsid w:val="00FB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197927"/>
  <w15:docId w15:val="{6E80CB08-CD07-46A3-87FD-B27D3791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041"/>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
    <w:name w:val="Body Text Char"/>
    <w:uiPriority w:val="99"/>
    <w:locked/>
    <w:rsid w:val="00D35041"/>
    <w:rPr>
      <w:rFonts w:ascii="Times New Roman" w:hAnsi="Times New Roman"/>
      <w:u w:val="none"/>
      <w:shd w:val="clear" w:color="auto" w:fill="auto"/>
    </w:rPr>
  </w:style>
  <w:style w:type="character" w:customStyle="1" w:styleId="Bodytext2">
    <w:name w:val="Body text (2)_"/>
    <w:link w:val="Bodytext20"/>
    <w:uiPriority w:val="99"/>
    <w:locked/>
    <w:rsid w:val="00D35041"/>
    <w:rPr>
      <w:rFonts w:ascii="Cambria" w:hAnsi="Cambria"/>
      <w:b/>
      <w:sz w:val="26"/>
      <w:u w:val="none"/>
      <w:shd w:val="clear" w:color="auto" w:fill="auto"/>
    </w:rPr>
  </w:style>
  <w:style w:type="character" w:customStyle="1" w:styleId="Tablecaption">
    <w:name w:val="Table caption_"/>
    <w:link w:val="Tablecaption0"/>
    <w:uiPriority w:val="99"/>
    <w:locked/>
    <w:rsid w:val="00D35041"/>
    <w:rPr>
      <w:rFonts w:ascii="Times New Roman" w:hAnsi="Times New Roman"/>
      <w:i/>
      <w:sz w:val="16"/>
      <w:u w:val="none"/>
      <w:shd w:val="clear" w:color="auto" w:fill="auto"/>
    </w:rPr>
  </w:style>
  <w:style w:type="character" w:customStyle="1" w:styleId="Other">
    <w:name w:val="Other_"/>
    <w:link w:val="Other0"/>
    <w:uiPriority w:val="99"/>
    <w:locked/>
    <w:rsid w:val="00D35041"/>
    <w:rPr>
      <w:rFonts w:ascii="Times New Roman" w:hAnsi="Times New Roman"/>
      <w:u w:val="none"/>
      <w:shd w:val="clear" w:color="auto" w:fill="auto"/>
    </w:rPr>
  </w:style>
  <w:style w:type="character" w:customStyle="1" w:styleId="Bodytext3">
    <w:name w:val="Body text (3)_"/>
    <w:link w:val="Bodytext30"/>
    <w:uiPriority w:val="99"/>
    <w:locked/>
    <w:rsid w:val="00D35041"/>
    <w:rPr>
      <w:rFonts w:ascii="Times New Roman" w:hAnsi="Times New Roman"/>
      <w:i/>
      <w:sz w:val="16"/>
      <w:u w:val="none"/>
      <w:shd w:val="clear" w:color="auto" w:fill="auto"/>
    </w:rPr>
  </w:style>
  <w:style w:type="paragraph" w:styleId="a3">
    <w:name w:val="Body Text"/>
    <w:basedOn w:val="a"/>
    <w:link w:val="a4"/>
    <w:uiPriority w:val="99"/>
    <w:rsid w:val="00D35041"/>
    <w:pPr>
      <w:spacing w:after="100"/>
      <w:ind w:firstLine="280"/>
    </w:pPr>
    <w:rPr>
      <w:rFonts w:cs="Times New Roman"/>
    </w:rPr>
  </w:style>
  <w:style w:type="character" w:customStyle="1" w:styleId="a4">
    <w:name w:val="Основний текст Знак"/>
    <w:link w:val="a3"/>
    <w:uiPriority w:val="99"/>
    <w:semiHidden/>
    <w:locked/>
    <w:rsid w:val="00E93A3E"/>
    <w:rPr>
      <w:rFonts w:cs="Times New Roman"/>
      <w:color w:val="000000"/>
      <w:sz w:val="24"/>
      <w:lang w:val="uk-UA" w:eastAsia="uk-UA"/>
    </w:rPr>
  </w:style>
  <w:style w:type="paragraph" w:customStyle="1" w:styleId="Bodytext20">
    <w:name w:val="Body text (2)"/>
    <w:basedOn w:val="a"/>
    <w:link w:val="Bodytext2"/>
    <w:uiPriority w:val="99"/>
    <w:rsid w:val="00D35041"/>
    <w:pPr>
      <w:spacing w:after="280"/>
      <w:jc w:val="center"/>
    </w:pPr>
    <w:rPr>
      <w:rFonts w:ascii="Cambria" w:hAnsi="Cambria" w:cs="Times New Roman"/>
      <w:b/>
      <w:color w:val="auto"/>
      <w:sz w:val="26"/>
      <w:szCs w:val="20"/>
      <w:lang w:val="ru-RU" w:eastAsia="ru-RU"/>
    </w:rPr>
  </w:style>
  <w:style w:type="paragraph" w:customStyle="1" w:styleId="Tablecaption0">
    <w:name w:val="Table caption"/>
    <w:basedOn w:val="a"/>
    <w:link w:val="Tablecaption"/>
    <w:uiPriority w:val="99"/>
    <w:rsid w:val="00D35041"/>
    <w:pPr>
      <w:spacing w:line="223" w:lineRule="auto"/>
    </w:pPr>
    <w:rPr>
      <w:rFonts w:ascii="Times New Roman" w:hAnsi="Times New Roman" w:cs="Times New Roman"/>
      <w:i/>
      <w:color w:val="auto"/>
      <w:sz w:val="16"/>
      <w:szCs w:val="20"/>
      <w:lang w:val="ru-RU" w:eastAsia="ru-RU"/>
    </w:rPr>
  </w:style>
  <w:style w:type="paragraph" w:customStyle="1" w:styleId="Other0">
    <w:name w:val="Other"/>
    <w:basedOn w:val="a"/>
    <w:link w:val="Other"/>
    <w:uiPriority w:val="99"/>
    <w:rsid w:val="00D35041"/>
    <w:pPr>
      <w:spacing w:after="100"/>
      <w:ind w:firstLine="280"/>
    </w:pPr>
    <w:rPr>
      <w:rFonts w:ascii="Times New Roman" w:hAnsi="Times New Roman" w:cs="Times New Roman"/>
      <w:color w:val="auto"/>
      <w:sz w:val="20"/>
      <w:szCs w:val="20"/>
      <w:lang w:val="ru-RU" w:eastAsia="ru-RU"/>
    </w:rPr>
  </w:style>
  <w:style w:type="paragraph" w:customStyle="1" w:styleId="Bodytext30">
    <w:name w:val="Body text (3)"/>
    <w:basedOn w:val="a"/>
    <w:link w:val="Bodytext3"/>
    <w:uiPriority w:val="99"/>
    <w:rsid w:val="00D35041"/>
    <w:rPr>
      <w:rFonts w:ascii="Times New Roman" w:hAnsi="Times New Roman" w:cs="Times New Roman"/>
      <w:i/>
      <w:color w:val="auto"/>
      <w:sz w:val="16"/>
      <w:szCs w:val="20"/>
      <w:lang w:val="ru-RU" w:eastAsia="ru-RU"/>
    </w:rPr>
  </w:style>
  <w:style w:type="paragraph" w:styleId="a5">
    <w:name w:val="Normal (Web)"/>
    <w:basedOn w:val="a"/>
    <w:uiPriority w:val="99"/>
    <w:rsid w:val="001C17B3"/>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6">
    <w:name w:val="header"/>
    <w:basedOn w:val="a"/>
    <w:link w:val="a7"/>
    <w:uiPriority w:val="99"/>
    <w:rsid w:val="00AB48AF"/>
    <w:pPr>
      <w:tabs>
        <w:tab w:val="center" w:pos="4677"/>
        <w:tab w:val="right" w:pos="9355"/>
      </w:tabs>
    </w:pPr>
    <w:rPr>
      <w:rFonts w:cs="Times New Roman"/>
      <w:sz w:val="20"/>
      <w:szCs w:val="20"/>
    </w:rPr>
  </w:style>
  <w:style w:type="character" w:customStyle="1" w:styleId="a7">
    <w:name w:val="Верхній колонтитул Знак"/>
    <w:link w:val="a6"/>
    <w:uiPriority w:val="99"/>
    <w:locked/>
    <w:rsid w:val="00AB48AF"/>
    <w:rPr>
      <w:rFonts w:cs="Times New Roman"/>
      <w:color w:val="000000"/>
    </w:rPr>
  </w:style>
  <w:style w:type="paragraph" w:styleId="a8">
    <w:name w:val="footer"/>
    <w:basedOn w:val="a"/>
    <w:link w:val="a9"/>
    <w:uiPriority w:val="99"/>
    <w:rsid w:val="00AB48AF"/>
    <w:pPr>
      <w:tabs>
        <w:tab w:val="center" w:pos="4677"/>
        <w:tab w:val="right" w:pos="9355"/>
      </w:tabs>
    </w:pPr>
    <w:rPr>
      <w:rFonts w:cs="Times New Roman"/>
      <w:sz w:val="20"/>
      <w:szCs w:val="20"/>
    </w:rPr>
  </w:style>
  <w:style w:type="character" w:customStyle="1" w:styleId="a9">
    <w:name w:val="Нижній колонтитул Знак"/>
    <w:link w:val="a8"/>
    <w:uiPriority w:val="99"/>
    <w:locked/>
    <w:rsid w:val="00AB48AF"/>
    <w:rPr>
      <w:rFonts w:cs="Times New Roman"/>
      <w:color w:val="000000"/>
    </w:rPr>
  </w:style>
  <w:style w:type="character" w:styleId="aa">
    <w:name w:val="Hyperlink"/>
    <w:uiPriority w:val="99"/>
    <w:rsid w:val="00357D8F"/>
    <w:rPr>
      <w:rFonts w:cs="Times New Roman"/>
      <w:color w:val="0000FF"/>
      <w:u w:val="single"/>
    </w:rPr>
  </w:style>
  <w:style w:type="paragraph" w:styleId="ab">
    <w:name w:val="List Paragraph"/>
    <w:basedOn w:val="a"/>
    <w:uiPriority w:val="99"/>
    <w:qFormat/>
    <w:rsid w:val="00357D8F"/>
    <w:pPr>
      <w:widowControl/>
      <w:spacing w:after="200" w:line="276" w:lineRule="auto"/>
      <w:ind w:left="720"/>
    </w:pPr>
    <w:rPr>
      <w:rFonts w:ascii="Calibri" w:hAnsi="Calibri" w:cs="Times New Roman"/>
      <w:color w:val="auto"/>
      <w:sz w:val="22"/>
      <w:szCs w:val="22"/>
      <w:lang w:eastAsia="en-US"/>
    </w:rPr>
  </w:style>
  <w:style w:type="table" w:styleId="ac">
    <w:name w:val="Table Grid"/>
    <w:basedOn w:val="a1"/>
    <w:uiPriority w:val="99"/>
    <w:rsid w:val="008768C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69662">
      <w:marLeft w:val="0"/>
      <w:marRight w:val="0"/>
      <w:marTop w:val="0"/>
      <w:marBottom w:val="0"/>
      <w:divBdr>
        <w:top w:val="none" w:sz="0" w:space="0" w:color="auto"/>
        <w:left w:val="none" w:sz="0" w:space="0" w:color="auto"/>
        <w:bottom w:val="none" w:sz="0" w:space="0" w:color="auto"/>
        <w:right w:val="none" w:sz="0" w:space="0" w:color="auto"/>
      </w:divBdr>
    </w:div>
    <w:div w:id="615869663">
      <w:marLeft w:val="0"/>
      <w:marRight w:val="0"/>
      <w:marTop w:val="0"/>
      <w:marBottom w:val="0"/>
      <w:divBdr>
        <w:top w:val="none" w:sz="0" w:space="0" w:color="auto"/>
        <w:left w:val="none" w:sz="0" w:space="0" w:color="auto"/>
        <w:bottom w:val="none" w:sz="0" w:space="0" w:color="auto"/>
        <w:right w:val="none" w:sz="0" w:space="0" w:color="auto"/>
      </w:divBdr>
    </w:div>
    <w:div w:id="615869664">
      <w:marLeft w:val="0"/>
      <w:marRight w:val="0"/>
      <w:marTop w:val="0"/>
      <w:marBottom w:val="0"/>
      <w:divBdr>
        <w:top w:val="none" w:sz="0" w:space="0" w:color="auto"/>
        <w:left w:val="none" w:sz="0" w:space="0" w:color="auto"/>
        <w:bottom w:val="none" w:sz="0" w:space="0" w:color="auto"/>
        <w:right w:val="none" w:sz="0" w:space="0" w:color="auto"/>
      </w:divBdr>
    </w:div>
    <w:div w:id="615869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4426</Words>
  <Characters>2524</Characters>
  <Application>Microsoft Office Word</Application>
  <DocSecurity>0</DocSecurity>
  <Lines>21</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Оплата за фактом</dc:title>
  <dc:subject/>
  <dc:creator>PM</dc:creator>
  <cp:keywords/>
  <dc:description/>
  <cp:lastModifiedBy>Короп Любов Миколаївна</cp:lastModifiedBy>
  <cp:revision>2</cp:revision>
  <dcterms:created xsi:type="dcterms:W3CDTF">2021-07-15T06:01:00Z</dcterms:created>
  <dcterms:modified xsi:type="dcterms:W3CDTF">2021-07-15T06:01:00Z</dcterms:modified>
</cp:coreProperties>
</file>