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B7E2" w14:textId="77777777" w:rsidR="005A1AF4" w:rsidRDefault="005A1AF4" w:rsidP="004D36C0">
      <w:pPr>
        <w:ind w:left="5103"/>
        <w:rPr>
          <w:rFonts w:ascii="Times New Roman" w:hAnsi="Times New Roman"/>
          <w:color w:val="auto"/>
        </w:rPr>
      </w:pPr>
      <w:bookmarkStart w:id="0" w:name="_Hlk47988379"/>
      <w:r>
        <w:rPr>
          <w:rFonts w:ascii="Times New Roman" w:hAnsi="Times New Roman"/>
        </w:rPr>
        <w:t xml:space="preserve">Додаток № </w:t>
      </w:r>
      <w:r>
        <w:rPr>
          <w:rFonts w:ascii="Times New Roman" w:hAnsi="Times New Roman"/>
          <w:lang w:val="ru-RU"/>
        </w:rPr>
        <w:t xml:space="preserve">4 </w:t>
      </w:r>
    </w:p>
    <w:p w14:paraId="00E40E61" w14:textId="77777777" w:rsidR="005A1AF4" w:rsidRDefault="005A1AF4" w:rsidP="004D36C0">
      <w:pPr>
        <w:ind w:left="5103"/>
        <w:rPr>
          <w:rFonts w:ascii="Times New Roman" w:hAnsi="Times New Roman"/>
        </w:rPr>
      </w:pPr>
      <w:r>
        <w:rPr>
          <w:rFonts w:ascii="Times New Roman" w:hAnsi="Times New Roman"/>
        </w:rPr>
        <w:t>до Договору електропостачальника про надання послуг з розподілу (передачі) електричної енергії</w:t>
      </w:r>
    </w:p>
    <w:p w14:paraId="48085855" w14:textId="77777777" w:rsidR="005A1AF4" w:rsidRDefault="005A1AF4" w:rsidP="004D36C0">
      <w:pPr>
        <w:rPr>
          <w:rFonts w:ascii="Times New Roman" w:hAnsi="Times New Roman"/>
        </w:rPr>
      </w:pPr>
    </w:p>
    <w:p w14:paraId="03319E75" w14:textId="77777777" w:rsidR="005A1AF4" w:rsidRDefault="005A1AF4" w:rsidP="00C41A07">
      <w:pPr>
        <w:jc w:val="center"/>
        <w:rPr>
          <w:rFonts w:ascii="Times New Roman" w:hAnsi="Times New Roman"/>
          <w:b/>
        </w:rPr>
      </w:pPr>
      <w:r>
        <w:rPr>
          <w:rFonts w:ascii="Times New Roman" w:hAnsi="Times New Roman"/>
          <w:b/>
        </w:rPr>
        <w:t>Особливості здійснення обмеження, припинення та відновлення</w:t>
      </w:r>
    </w:p>
    <w:p w14:paraId="2198AAD3" w14:textId="77777777" w:rsidR="005A1AF4" w:rsidRDefault="005A1AF4" w:rsidP="00C41A07">
      <w:pPr>
        <w:jc w:val="center"/>
        <w:rPr>
          <w:rFonts w:ascii="Times New Roman" w:hAnsi="Times New Roman"/>
          <w:b/>
        </w:rPr>
      </w:pPr>
      <w:r>
        <w:rPr>
          <w:rFonts w:ascii="Times New Roman" w:hAnsi="Times New Roman"/>
          <w:b/>
        </w:rPr>
        <w:t>постачання електроенергії споживачу</w:t>
      </w:r>
    </w:p>
    <w:p w14:paraId="78DE1C98" w14:textId="77777777" w:rsidR="005A1AF4" w:rsidRDefault="005A1AF4" w:rsidP="00C41A07">
      <w:pPr>
        <w:jc w:val="center"/>
        <w:rPr>
          <w:rFonts w:ascii="Times New Roman" w:hAnsi="Times New Roman"/>
          <w:b/>
        </w:rPr>
      </w:pPr>
      <w:r>
        <w:rPr>
          <w:rFonts w:ascii="Times New Roman" w:hAnsi="Times New Roman"/>
          <w:b/>
        </w:rPr>
        <w:t>за вимогою Постачальника (далі – Протокол)</w:t>
      </w:r>
    </w:p>
    <w:p w14:paraId="7BFBF00C" w14:textId="77777777" w:rsidR="005A1AF4" w:rsidRDefault="005A1AF4" w:rsidP="00C41A07">
      <w:pPr>
        <w:jc w:val="center"/>
        <w:rPr>
          <w:rFonts w:ascii="Times New Roman" w:hAnsi="Times New Roman"/>
        </w:rPr>
      </w:pPr>
    </w:p>
    <w:p w14:paraId="0B34EDE1" w14:textId="77777777" w:rsidR="005A1AF4" w:rsidRPr="00C221C9" w:rsidRDefault="005A1AF4" w:rsidP="007B4939">
      <w:pPr>
        <w:pStyle w:val="2"/>
        <w:tabs>
          <w:tab w:val="left" w:pos="426"/>
        </w:tabs>
        <w:spacing w:line="228" w:lineRule="auto"/>
        <w:rPr>
          <w:sz w:val="24"/>
          <w:szCs w:val="24"/>
        </w:rPr>
      </w:pPr>
      <w:r w:rsidRPr="00DD7F3B">
        <w:rPr>
          <w:sz w:val="24"/>
          <w:szCs w:val="24"/>
        </w:rPr>
        <w:tab/>
      </w:r>
      <w:r w:rsidRPr="00C221C9">
        <w:rPr>
          <w:sz w:val="24"/>
          <w:szCs w:val="24"/>
        </w:rPr>
        <w:t>1. Постачальник звертається до Оператора системи щодо відключення (обмеження) та відновлення електроживлення споживача у випадках, визначених Правилами роздрібного ринку електричної енергії.</w:t>
      </w:r>
    </w:p>
    <w:p w14:paraId="08968B69" w14:textId="77777777" w:rsidR="005A1AF4" w:rsidRPr="00C221C9" w:rsidRDefault="005A1AF4" w:rsidP="007B4939">
      <w:pPr>
        <w:pStyle w:val="2"/>
        <w:shd w:val="clear" w:color="auto" w:fill="auto"/>
        <w:tabs>
          <w:tab w:val="left" w:pos="709"/>
        </w:tabs>
        <w:spacing w:line="228" w:lineRule="auto"/>
        <w:ind w:firstLine="426"/>
        <w:rPr>
          <w:sz w:val="24"/>
          <w:szCs w:val="24"/>
        </w:rPr>
      </w:pPr>
      <w:r w:rsidRPr="00C221C9">
        <w:rPr>
          <w:sz w:val="24"/>
          <w:szCs w:val="24"/>
        </w:rPr>
        <w:t>2. Послуги з припинення та відновлення постачання електричної енергії є платними послугами, які Постачальник замовляє, а Оператор системи надає, у терміни визначені Кодексом систем розподілу (далі – КСР) та Правилами роздрібного ринку електричної енергії (далі – ПРРЕЕ).</w:t>
      </w:r>
    </w:p>
    <w:p w14:paraId="126EF73D" w14:textId="77777777" w:rsidR="005A1AF4" w:rsidRPr="00C221C9" w:rsidRDefault="005A1AF4" w:rsidP="007B4939">
      <w:pPr>
        <w:pStyle w:val="2"/>
        <w:tabs>
          <w:tab w:val="left" w:pos="426"/>
        </w:tabs>
        <w:spacing w:line="228" w:lineRule="auto"/>
        <w:ind w:firstLine="426"/>
        <w:rPr>
          <w:sz w:val="24"/>
          <w:szCs w:val="24"/>
        </w:rPr>
      </w:pPr>
      <w:r w:rsidRPr="00C221C9">
        <w:rPr>
          <w:sz w:val="24"/>
          <w:szCs w:val="24"/>
        </w:rPr>
        <w:t>3. Виконання Оператором системи робіт з припинення та відновлення електроживлення споживача на підставі звернення Постачальника здійснюється у терміни визначені Кодексом систем розподілу та Правилами роздрібного ринку електричної енергії.</w:t>
      </w:r>
    </w:p>
    <w:p w14:paraId="460FAC90" w14:textId="77777777" w:rsidR="005A1AF4" w:rsidRPr="00C221C9" w:rsidRDefault="005A1AF4" w:rsidP="007B4939">
      <w:pPr>
        <w:pStyle w:val="2"/>
        <w:shd w:val="clear" w:color="auto" w:fill="auto"/>
        <w:tabs>
          <w:tab w:val="left" w:pos="709"/>
        </w:tabs>
        <w:spacing w:line="228" w:lineRule="auto"/>
        <w:ind w:firstLine="426"/>
        <w:rPr>
          <w:sz w:val="24"/>
          <w:szCs w:val="24"/>
        </w:rPr>
      </w:pPr>
      <w:r w:rsidRPr="00C221C9">
        <w:rPr>
          <w:sz w:val="24"/>
          <w:szCs w:val="24"/>
        </w:rPr>
        <w:t>4. Оператор системи не розглядає від споживачів електричної енергії заперечення щодо припинення електроживлення або звернення щодо неправомірності дій Постачальника.</w:t>
      </w:r>
    </w:p>
    <w:p w14:paraId="625BDC23" w14:textId="77777777" w:rsidR="005A1AF4" w:rsidRPr="00C221C9" w:rsidRDefault="005A1AF4" w:rsidP="007B4939">
      <w:pPr>
        <w:pStyle w:val="2"/>
        <w:shd w:val="clear" w:color="auto" w:fill="auto"/>
        <w:tabs>
          <w:tab w:val="left" w:pos="709"/>
        </w:tabs>
        <w:spacing w:line="228" w:lineRule="auto"/>
        <w:ind w:firstLine="426"/>
        <w:rPr>
          <w:sz w:val="24"/>
          <w:szCs w:val="24"/>
        </w:rPr>
      </w:pPr>
      <w:r w:rsidRPr="00C221C9">
        <w:rPr>
          <w:sz w:val="24"/>
          <w:szCs w:val="24"/>
        </w:rPr>
        <w:t xml:space="preserve">5. Оператор системи має право здійснювати обмеження, припинення та відновлення постачання електроенергії споживачу за власною ініціативою, у випадках передбачених Правилами роздрібного ринку та/або  Кодексом системи розподілу. </w:t>
      </w:r>
    </w:p>
    <w:p w14:paraId="79192405" w14:textId="77777777" w:rsidR="005A1AF4" w:rsidRPr="00C221C9" w:rsidRDefault="005A1AF4" w:rsidP="007B4939">
      <w:pPr>
        <w:pStyle w:val="2"/>
        <w:shd w:val="clear" w:color="auto" w:fill="auto"/>
        <w:tabs>
          <w:tab w:val="left" w:pos="709"/>
        </w:tabs>
        <w:spacing w:line="228" w:lineRule="auto"/>
        <w:ind w:firstLine="426"/>
        <w:rPr>
          <w:sz w:val="24"/>
          <w:szCs w:val="24"/>
        </w:rPr>
      </w:pPr>
      <w:r w:rsidRPr="00C221C9">
        <w:rPr>
          <w:sz w:val="24"/>
          <w:szCs w:val="24"/>
        </w:rPr>
        <w:t xml:space="preserve">6. Звернення Постачальника про припинення електроживлення споживача оформляється за формою, що наведена у формі додатку 1 до цього Протоколу та повинно містити дані, що ідентифікують відповідного споживача електричної енергії (особовий рахунок споживача, </w:t>
      </w:r>
      <w:r w:rsidRPr="00C221C9">
        <w:rPr>
          <w:sz w:val="24"/>
          <w:szCs w:val="24"/>
          <w:lang w:val="en-US" w:eastAsia="en-US"/>
        </w:rPr>
        <w:t>EIC</w:t>
      </w:r>
      <w:r w:rsidRPr="00C221C9">
        <w:rPr>
          <w:sz w:val="24"/>
          <w:szCs w:val="24"/>
        </w:rPr>
        <w:t>-код точки розподілу, назва та адреса споживача), та причину (підставу,</w:t>
      </w:r>
      <w:r w:rsidRPr="00C221C9">
        <w:rPr>
          <w:sz w:val="24"/>
          <w:szCs w:val="24"/>
          <w:shd w:val="clear" w:color="auto" w:fill="FFFFFF"/>
        </w:rPr>
        <w:t xml:space="preserve"> суму заборгованості за відповідним договором та період, за який ця заборгованість виникла</w:t>
      </w:r>
      <w:r w:rsidRPr="00C221C9">
        <w:rPr>
          <w:sz w:val="24"/>
          <w:szCs w:val="24"/>
        </w:rPr>
        <w:t>) припинення електроживлення об’єкту такого споживача електричної енергії, дату, з якої слід припинити електроживлення споживача.</w:t>
      </w:r>
    </w:p>
    <w:p w14:paraId="5487D6F1" w14:textId="77777777" w:rsidR="005A1AF4" w:rsidRPr="00C221C9" w:rsidRDefault="005A1AF4" w:rsidP="007B4939">
      <w:pPr>
        <w:spacing w:line="228" w:lineRule="auto"/>
        <w:ind w:firstLine="426"/>
        <w:jc w:val="both"/>
        <w:rPr>
          <w:rFonts w:ascii="Times New Roman" w:hAnsi="Times New Roman" w:cs="Times New Roman"/>
          <w:color w:val="auto"/>
        </w:rPr>
      </w:pPr>
      <w:r w:rsidRPr="00C221C9">
        <w:rPr>
          <w:rFonts w:ascii="Times New Roman" w:hAnsi="Times New Roman" w:cs="Times New Roman"/>
          <w:color w:val="auto"/>
        </w:rPr>
        <w:t>7. Звернення Постачальника про припинення електроживлення споживача (крім побутового  споживача) надається Постачальником Оператору системи не пізніше ніж за 1</w:t>
      </w:r>
      <w:r w:rsidRPr="00C221C9">
        <w:rPr>
          <w:rFonts w:ascii="Times New Roman" w:hAnsi="Times New Roman" w:cs="Times New Roman"/>
          <w:color w:val="auto"/>
          <w:lang w:val="ru-RU"/>
        </w:rPr>
        <w:t>1</w:t>
      </w:r>
      <w:r w:rsidRPr="00C221C9">
        <w:rPr>
          <w:rFonts w:ascii="Times New Roman" w:hAnsi="Times New Roman" w:cs="Times New Roman"/>
          <w:color w:val="auto"/>
        </w:rPr>
        <w:t xml:space="preserve"> робочих днів до запланованої дати припинення електроживлення споживача таким чином, щоб дата припинення електроживлення споживача не припадала на день, який є вихідним чи святковим днем.</w:t>
      </w:r>
    </w:p>
    <w:p w14:paraId="7A4DB097" w14:textId="77777777" w:rsidR="005A1AF4" w:rsidRPr="00C221C9" w:rsidRDefault="005A1AF4" w:rsidP="007B4939">
      <w:pPr>
        <w:pStyle w:val="ae"/>
        <w:spacing w:line="228" w:lineRule="auto"/>
        <w:ind w:firstLine="425"/>
        <w:jc w:val="both"/>
        <w:rPr>
          <w:rFonts w:ascii="Times New Roman" w:hAnsi="Times New Roman"/>
          <w:sz w:val="24"/>
          <w:szCs w:val="24"/>
          <w:lang w:eastAsia="uk-UA"/>
        </w:rPr>
      </w:pPr>
      <w:r w:rsidRPr="00C221C9">
        <w:rPr>
          <w:rFonts w:ascii="Times New Roman" w:hAnsi="Times New Roman"/>
          <w:sz w:val="24"/>
          <w:szCs w:val="24"/>
          <w:lang w:eastAsia="uk-UA"/>
        </w:rPr>
        <w:t>Сторони погодили, що у випадку, якщо звернення Постачальника надійшло пізніше терміну, встановленого абзацом 1 цього пункту, або вказана у зверненні дата припинення електроживлення споживача припадає на вихідний або святковий день, або на день, який передує вихідному чи святковому дню (у разі необхідності відключення побутового споживача), або звернення не містить всієї інформації, що передбачена п.6 Протоколу, таке звернення не розглядається Оператором системи, про що Оператор системи у цей же день повідомляє Постачальника. Постачальник вправі направити споживачу та Оператору системи нові звернення зі зміненою датою припинення електроживлення споживача.</w:t>
      </w:r>
    </w:p>
    <w:p w14:paraId="117C9748" w14:textId="77777777" w:rsidR="005A1AF4" w:rsidRPr="00C221C9" w:rsidRDefault="005A1AF4" w:rsidP="007B4939">
      <w:pPr>
        <w:tabs>
          <w:tab w:val="left" w:pos="1276"/>
        </w:tabs>
        <w:ind w:firstLine="426"/>
        <w:jc w:val="both"/>
        <w:rPr>
          <w:rFonts w:ascii="Times New Roman" w:hAnsi="Times New Roman"/>
          <w:color w:val="auto"/>
        </w:rPr>
      </w:pPr>
      <w:r w:rsidRPr="00C221C9">
        <w:rPr>
          <w:rFonts w:ascii="Times New Roman" w:hAnsi="Times New Roman"/>
          <w:color w:val="auto"/>
        </w:rPr>
        <w:t>8. При формуванні звернення на припинення електричної енергії споживачу, Постачальник зобов’язаний враховувати вимоги пунктів 11.5.19. та 11.5.20. Кодексу систем розподілу. В разі, якщо Оператор системи виявить недотримання відповідних вимог, він має право визначити іншу дату про що повідомляє Постачальника.  Виявлення не відповідності вимогам пунктів 11.5.19. та 11.5.20. Кодексу систем розподілу є правом, а не обов’язком Оператора системи.</w:t>
      </w:r>
    </w:p>
    <w:p w14:paraId="73C45389" w14:textId="77777777" w:rsidR="005A1AF4" w:rsidRPr="00C221C9" w:rsidRDefault="005A1AF4" w:rsidP="007B4939">
      <w:pPr>
        <w:pStyle w:val="2"/>
        <w:shd w:val="clear" w:color="auto" w:fill="auto"/>
        <w:tabs>
          <w:tab w:val="left" w:pos="709"/>
        </w:tabs>
        <w:spacing w:line="228" w:lineRule="auto"/>
        <w:ind w:firstLine="426"/>
        <w:rPr>
          <w:bCs/>
          <w:sz w:val="24"/>
          <w:szCs w:val="24"/>
        </w:rPr>
      </w:pPr>
      <w:r w:rsidRPr="00C221C9">
        <w:rPr>
          <w:sz w:val="24"/>
          <w:szCs w:val="24"/>
        </w:rPr>
        <w:t xml:space="preserve">9. Звернення, щодо обмеження та припинення електроживлення споживачів підписуються уповноваженою особою Постачальника. Уповноваженою особою, в розумінні даного пункту є працівник відповідного Постачальника, що має право здійснювати такі повноваження на підставі Статуту, довіреності чи посадової інструкції. </w:t>
      </w:r>
      <w:r w:rsidRPr="00C221C9">
        <w:rPr>
          <w:bCs/>
          <w:sz w:val="24"/>
          <w:szCs w:val="24"/>
        </w:rPr>
        <w:t>Документи, що підтверджують повноваження уповноважених осіб Постачальника надаються ним оператору системи, разом з зверненням, або в зверненні вказується, що такі документи надані раніше, з зазначенням назви документу та дати, коли надавались такі документи.</w:t>
      </w:r>
    </w:p>
    <w:p w14:paraId="4DC59951" w14:textId="77777777" w:rsidR="005A1AF4" w:rsidRPr="00C221C9" w:rsidRDefault="005A1AF4" w:rsidP="007B4939">
      <w:pPr>
        <w:pStyle w:val="2"/>
        <w:shd w:val="clear" w:color="auto" w:fill="auto"/>
        <w:tabs>
          <w:tab w:val="left" w:pos="709"/>
        </w:tabs>
        <w:spacing w:line="228" w:lineRule="auto"/>
        <w:ind w:firstLine="426"/>
        <w:rPr>
          <w:sz w:val="24"/>
          <w:szCs w:val="24"/>
        </w:rPr>
      </w:pPr>
      <w:r w:rsidRPr="00C221C9">
        <w:rPr>
          <w:bCs/>
        </w:rPr>
        <w:t xml:space="preserve">10. </w:t>
      </w:r>
      <w:r w:rsidRPr="00C221C9">
        <w:rPr>
          <w:sz w:val="24"/>
          <w:szCs w:val="24"/>
        </w:rPr>
        <w:t>Оператор системи не має права вимагати додатково від Постачальника обґрунтування (доказів) причини (підстави) припинення електроживлення, якщо вона відповідає випадкам, визначеним ПРРЕЕ. У випадках, якщо підстава не передбачена ПРРЕЕ, Оператор системи має право відхилити звернення Постачальника (відключення конкретного споживача з переліку в реєстрі), про що повідомляє Постачальника протягом 2 робочих днів з дати отримання звернення.</w:t>
      </w:r>
    </w:p>
    <w:p w14:paraId="30979DA8" w14:textId="77777777" w:rsidR="005A1AF4" w:rsidRPr="00C221C9" w:rsidRDefault="005A1AF4" w:rsidP="007B4939">
      <w:pPr>
        <w:pStyle w:val="2"/>
        <w:tabs>
          <w:tab w:val="left" w:pos="426"/>
        </w:tabs>
        <w:spacing w:line="228" w:lineRule="auto"/>
        <w:ind w:firstLine="709"/>
        <w:rPr>
          <w:sz w:val="24"/>
          <w:szCs w:val="24"/>
        </w:rPr>
      </w:pPr>
      <w:r w:rsidRPr="00C221C9">
        <w:rPr>
          <w:sz w:val="24"/>
          <w:szCs w:val="24"/>
        </w:rPr>
        <w:t xml:space="preserve">11. Оператор системи повідомляє Постачальника про  виконання робіт щодо припинення  </w:t>
      </w:r>
      <w:r w:rsidRPr="00C221C9">
        <w:rPr>
          <w:sz w:val="24"/>
          <w:szCs w:val="24"/>
        </w:rPr>
        <w:lastRenderedPageBreak/>
        <w:t>(обмеження) та відновлення електроживлення споживачів Постачальника на наступний робочий день після здійснення необхідних технічних заходів, або про відсутність технічної можливості здійснити заходи з припинення електроживлення споживача відповідно до звернення Постачальника. Повідомлення надається наручно або електронною поштою (документ підписаний ЕЦП або сканований документ у форматі .</w:t>
      </w:r>
      <w:r w:rsidRPr="00C221C9">
        <w:rPr>
          <w:sz w:val="24"/>
          <w:szCs w:val="24"/>
          <w:lang w:val="en-US"/>
        </w:rPr>
        <w:t>pdf</w:t>
      </w:r>
      <w:r w:rsidRPr="00C221C9">
        <w:rPr>
          <w:sz w:val="24"/>
          <w:szCs w:val="24"/>
        </w:rPr>
        <w:t xml:space="preserve">) за підписом уповноваженої особи </w:t>
      </w:r>
      <w:r w:rsidRPr="00C221C9">
        <w:t>Оператора системи</w:t>
      </w:r>
      <w:r w:rsidRPr="00C221C9">
        <w:rPr>
          <w:sz w:val="24"/>
          <w:szCs w:val="24"/>
        </w:rPr>
        <w:t xml:space="preserve"> згідно форми 2 до уповноважених осіб  Постачальника.</w:t>
      </w:r>
    </w:p>
    <w:p w14:paraId="4387F8B8" w14:textId="77777777" w:rsidR="005A1AF4" w:rsidRPr="00C221C9" w:rsidRDefault="005A1AF4" w:rsidP="007B4939">
      <w:pPr>
        <w:pStyle w:val="2"/>
        <w:tabs>
          <w:tab w:val="left" w:pos="426"/>
        </w:tabs>
        <w:spacing w:line="228" w:lineRule="auto"/>
        <w:ind w:firstLine="425"/>
        <w:rPr>
          <w:sz w:val="24"/>
          <w:szCs w:val="24"/>
        </w:rPr>
      </w:pPr>
      <w:bookmarkStart w:id="1" w:name="_Hlk48218145"/>
      <w:r w:rsidRPr="00C221C9">
        <w:rPr>
          <w:sz w:val="24"/>
          <w:szCs w:val="24"/>
        </w:rPr>
        <w:t>Електронна копія вказаного повідомлення (файл Microsoft Excel) повинна бути надіслана уповноваженою особою Оператора системи уповноваженій особі Постачальника електронною поштою.</w:t>
      </w:r>
    </w:p>
    <w:bookmarkEnd w:id="1"/>
    <w:p w14:paraId="525D77A5" w14:textId="77777777" w:rsidR="005A1AF4" w:rsidRPr="00C221C9" w:rsidRDefault="005A1AF4" w:rsidP="007B4939">
      <w:pPr>
        <w:pStyle w:val="2"/>
        <w:shd w:val="clear" w:color="auto" w:fill="auto"/>
        <w:tabs>
          <w:tab w:val="left" w:pos="709"/>
        </w:tabs>
        <w:spacing w:line="228" w:lineRule="auto"/>
        <w:ind w:left="20" w:right="23" w:firstLine="689"/>
        <w:rPr>
          <w:sz w:val="24"/>
          <w:szCs w:val="24"/>
        </w:rPr>
      </w:pPr>
      <w:r w:rsidRPr="00C221C9">
        <w:rPr>
          <w:sz w:val="24"/>
          <w:szCs w:val="24"/>
        </w:rPr>
        <w:t>12. Оператор системи повинен припинити електроживлення споживача в терміни, які зазначені у зверненні Постачальника.</w:t>
      </w:r>
    </w:p>
    <w:p w14:paraId="66C3D5BF" w14:textId="77777777" w:rsidR="005A1AF4" w:rsidRPr="00C221C9" w:rsidRDefault="005A1AF4" w:rsidP="007B4939">
      <w:pPr>
        <w:pStyle w:val="2"/>
        <w:shd w:val="clear" w:color="auto" w:fill="auto"/>
        <w:tabs>
          <w:tab w:val="left" w:pos="709"/>
        </w:tabs>
        <w:spacing w:line="228" w:lineRule="auto"/>
        <w:ind w:left="20" w:right="23"/>
        <w:rPr>
          <w:sz w:val="24"/>
          <w:szCs w:val="24"/>
        </w:rPr>
      </w:pPr>
      <w:r w:rsidRPr="00C221C9">
        <w:rPr>
          <w:sz w:val="24"/>
          <w:szCs w:val="24"/>
        </w:rPr>
        <w:tab/>
        <w:t xml:space="preserve">13. Оператор системи надсилає попередження про припинення електроживлення відповідному споживачу електричної енергії не пізніше ніж за 5 робочих днів до запланованої дати обмеження/припинення розподілу електричної енергії, з підстав, передбачених п.7.5 Правил роздрібного ринку електричної енергії. </w:t>
      </w:r>
    </w:p>
    <w:p w14:paraId="01EBF44E"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Реєстр надісланих попереджень, згідно форми 7, не пізніше наступного робочого дня після надання споживачу попередження, Оператор системи наручно або електронною поштою надає в структурні підрозділи Постачальника. На вимогу Постачальнику може надаватися (надсилатися) копія підготовленого попередження.</w:t>
      </w:r>
    </w:p>
    <w:p w14:paraId="540807BC"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 xml:space="preserve">14. У випадку надсилання попередження про припинення електроживлення споживача поштою рекомендованим листом дата припинення електроживлення споживача визначається Оператором системи з урахуванням затверджених нормативних строків пересилання поштових відправлень та вимог п. 7.5 Правил роздрібного ринку електричної енергії (датою отримання попередження вважається дата особистого вручення, або третій календарний день від дати отримання попередження поштовим відділенням зв'язку, в якому обслуговується споживач). </w:t>
      </w:r>
    </w:p>
    <w:p w14:paraId="531DA85D"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 xml:space="preserve">15. Під час здійснення технічних заходів щодо припинення розподілу електричної енергії Оператор системи у присутності споживача здійснює фіксацію показів засобів обліку споживача на час припинення електроживлення споживача. </w:t>
      </w:r>
    </w:p>
    <w:p w14:paraId="33D0EC4D"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У разі відсутності можливості зафіксувати покази засобів обліку при здійсненні відключення електроустановок споживача у зв’язку із недопуском до розрахункових засобів обліку, працівники Оператора системи повинні оформити відповідний акт про недопуск. В такому випадку дані розрахункового обліку на дату відключення електроживлення споживача визначаються Оператором системи розрахунковим шляхом за середньодобовим споживанням електричної енергії, згідно з вимогами Кодексу комерційного обліку електричної енергії.</w:t>
      </w:r>
    </w:p>
    <w:p w14:paraId="71060AC1"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16. У разі ненадання споживачем безперешкодного регламентованого доступу уповноваженим представникам Оператора системи до власних електроустановок для проведення вибіркового відключення струмоприймачів з наступним пломбуванням пристроїв їх підключення, працівники Оператора системи повинні оформити відповідний акт про недопуск.</w:t>
      </w:r>
    </w:p>
    <w:p w14:paraId="0FD78494"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17. Після надання реєстру або разом з наданням реєстру споживачів (за формою 2), яким припинено/відновлено постачання, Оператор системи направляє Постачальнику оформлений Акт приймання-передачі наданих послуг (за формою 3) у двох примірниках разом із рахунком для сплати послуг для подальшого оформлення з боку Постачальника. Один примірник оформленого акту Постачальник повертає Оператору системи протягом трьох робочих днів після  дати його отримання.</w:t>
      </w:r>
    </w:p>
    <w:p w14:paraId="5A05DBFC"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18. У разі, якщо Оператором системи було виконано понад 10 заявок на припинення та відновлення постачання електроенергії в одному розрахунковому періоді, то Оператор системи формує та надає (надсилає) Постачальнику:</w:t>
      </w:r>
    </w:p>
    <w:p w14:paraId="2DD5318F" w14:textId="77777777" w:rsidR="005A1AF4" w:rsidRPr="00C221C9" w:rsidRDefault="005A1AF4" w:rsidP="007B4939">
      <w:pPr>
        <w:pStyle w:val="2"/>
        <w:numPr>
          <w:ilvl w:val="0"/>
          <w:numId w:val="2"/>
        </w:numPr>
        <w:shd w:val="clear" w:color="auto" w:fill="auto"/>
        <w:tabs>
          <w:tab w:val="left" w:pos="709"/>
        </w:tabs>
        <w:spacing w:line="228" w:lineRule="auto"/>
        <w:ind w:left="0" w:firstLine="425"/>
        <w:rPr>
          <w:sz w:val="24"/>
          <w:szCs w:val="24"/>
        </w:rPr>
      </w:pPr>
      <w:r w:rsidRPr="00C221C9">
        <w:rPr>
          <w:bCs/>
          <w:sz w:val="24"/>
          <w:szCs w:val="24"/>
        </w:rPr>
        <w:t>зведений рахунок на</w:t>
      </w:r>
      <w:r w:rsidRPr="00C221C9">
        <w:rPr>
          <w:sz w:val="24"/>
          <w:szCs w:val="24"/>
        </w:rPr>
        <w:t xml:space="preserve"> оплату послуг з виконання робіт стосовно припинення та відновлення постачання електричної енергії (далі - Рахунок); </w:t>
      </w:r>
    </w:p>
    <w:p w14:paraId="66DAFAB6" w14:textId="77777777" w:rsidR="005A1AF4" w:rsidRPr="00C221C9" w:rsidRDefault="005A1AF4" w:rsidP="007B4939">
      <w:pPr>
        <w:pStyle w:val="2"/>
        <w:numPr>
          <w:ilvl w:val="0"/>
          <w:numId w:val="2"/>
        </w:numPr>
        <w:shd w:val="clear" w:color="auto" w:fill="auto"/>
        <w:tabs>
          <w:tab w:val="left" w:pos="709"/>
        </w:tabs>
        <w:spacing w:line="228" w:lineRule="auto"/>
        <w:ind w:left="0" w:firstLine="425"/>
        <w:rPr>
          <w:sz w:val="24"/>
          <w:szCs w:val="24"/>
        </w:rPr>
      </w:pPr>
      <w:r w:rsidRPr="00C221C9">
        <w:rPr>
          <w:sz w:val="24"/>
          <w:szCs w:val="24"/>
        </w:rPr>
        <w:t>реєстр виконаних робіт щодо припинення/відновлення електроживлення споживачам за зверненням Постачальника в розрізі підрозділів сторін, які були замовниками та виконавцями цих робіт. У реєстрі зазначається перелік та вартість всіх робіт, які виконувалися Оператором системи на виконання звернень Постачальника щодо припинення та відновлення електроживлення споживачів</w:t>
      </w:r>
      <w:r w:rsidRPr="00ED04F6">
        <w:rPr>
          <w:sz w:val="24"/>
          <w:szCs w:val="24"/>
        </w:rPr>
        <w:t>(</w:t>
      </w:r>
      <w:r w:rsidRPr="00C221C9">
        <w:rPr>
          <w:sz w:val="24"/>
          <w:szCs w:val="24"/>
        </w:rPr>
        <w:t xml:space="preserve">виконання організаційних та технічних заходів з припинення та відновлення електроживлення споживачів, виконання додаткових робіт із забезпечення живлення об'єктів інших споживачів та субспоживачів за іншою схемою, тощо). Одночасно Постачальнику надсилається  електронна копія реєстру виконаних робіт щодо припинення/відновлення електроживлення споживачам за зверненням Постачальника (файл </w:t>
      </w:r>
      <w:r w:rsidRPr="00C221C9">
        <w:rPr>
          <w:sz w:val="24"/>
          <w:szCs w:val="24"/>
          <w:lang w:val="en-US"/>
        </w:rPr>
        <w:t>MicrosoftExcel</w:t>
      </w:r>
      <w:r w:rsidRPr="00C221C9">
        <w:rPr>
          <w:sz w:val="24"/>
          <w:szCs w:val="24"/>
        </w:rPr>
        <w:t>);</w:t>
      </w:r>
    </w:p>
    <w:p w14:paraId="79D1080F" w14:textId="77777777" w:rsidR="005A1AF4" w:rsidRPr="00C221C9" w:rsidRDefault="005A1AF4" w:rsidP="007B4939">
      <w:pPr>
        <w:pStyle w:val="2"/>
        <w:numPr>
          <w:ilvl w:val="0"/>
          <w:numId w:val="2"/>
        </w:numPr>
        <w:shd w:val="clear" w:color="auto" w:fill="auto"/>
        <w:tabs>
          <w:tab w:val="left" w:pos="709"/>
        </w:tabs>
        <w:spacing w:line="228" w:lineRule="auto"/>
        <w:ind w:left="0" w:firstLine="425"/>
        <w:rPr>
          <w:sz w:val="24"/>
          <w:szCs w:val="24"/>
        </w:rPr>
      </w:pPr>
      <w:r w:rsidRPr="00C221C9">
        <w:rPr>
          <w:bCs/>
          <w:sz w:val="24"/>
          <w:szCs w:val="24"/>
        </w:rPr>
        <w:t>Акт приймання - передачі наданих послуг</w:t>
      </w:r>
      <w:r w:rsidRPr="00C221C9">
        <w:rPr>
          <w:sz w:val="24"/>
          <w:szCs w:val="24"/>
        </w:rPr>
        <w:t>.</w:t>
      </w:r>
    </w:p>
    <w:p w14:paraId="632F0F86"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 xml:space="preserve">19. Постачальник оплачує вартість послуг, протягом 7 банківських днів після отримання </w:t>
      </w:r>
      <w:r w:rsidRPr="00C221C9">
        <w:rPr>
          <w:sz w:val="24"/>
          <w:szCs w:val="24"/>
        </w:rPr>
        <w:lastRenderedPageBreak/>
        <w:t>відповідного рахунка. У разі наявності заборгованості Постачальника за надані послуги Оператором системи по припиненню постачання електроенергії споживачам, роботи  Оператором системи по припиненню електропостачання споживачам не виконуються, до дати повного погашення Постачальником боргу або врегулювання його, за згодою сторін, будь – яким іншим чином.</w:t>
      </w:r>
    </w:p>
    <w:p w14:paraId="1F736D0F"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 xml:space="preserve"> 20. В день запланованого припинення електроживлення споживачу Постачальник не пізніше 10-00 год надсилає уточнене звернення згідно форми 4 щодо припинення (обмеження) електроживлення споживачів Постачальника наручно або електронною поштою в структурні підрозділи Постачальника згідно з пунктом 11 Протоколу.  </w:t>
      </w:r>
    </w:p>
    <w:p w14:paraId="2A2BA913" w14:textId="77777777" w:rsidR="005A1AF4" w:rsidRPr="00C221C9" w:rsidRDefault="005A1AF4" w:rsidP="007B4939">
      <w:pPr>
        <w:pStyle w:val="2"/>
        <w:shd w:val="clear" w:color="auto" w:fill="auto"/>
        <w:tabs>
          <w:tab w:val="left" w:pos="709"/>
        </w:tabs>
        <w:spacing w:line="228" w:lineRule="auto"/>
        <w:ind w:left="20" w:right="23" w:firstLine="547"/>
        <w:rPr>
          <w:sz w:val="24"/>
          <w:szCs w:val="24"/>
        </w:rPr>
      </w:pPr>
      <w:r w:rsidRPr="00C221C9">
        <w:rPr>
          <w:sz w:val="24"/>
          <w:szCs w:val="24"/>
        </w:rPr>
        <w:t>Якщо після надання уточненого звернення щодо припинення (обмеження) електроживлення споживачів Постачальника, відпала необхідність в припиненні/обмеженні постачання електричної енергії і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Постачальник зобов'язаний відшкодувати Оператору системи відповідні витрати на здійснення зазначених дій.</w:t>
      </w:r>
    </w:p>
    <w:p w14:paraId="68020276"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rPr>
        <w:t xml:space="preserve">21. Відповідно до вимог Правил роздрібного ринку електричної енергії, у разі відсутності технічної можливості виконання умови одночасного забезпечення збереження необхідних рівнів надійності і якості електропостачання інших споживачів та субспоживачів (унаслідок застосування відповідної схеми електропостачання) у випадку ненадання споживачем доступу до власних електроустановок уповноваженим представникам Оператора системи для вибіркового відключення струмоприймачів споживача, Оператор системи перед відключенням основного споживача повинен забезпечити живлення об'єктів інших споживачів та субспоживачів за іншою схемою. </w:t>
      </w:r>
    </w:p>
    <w:p w14:paraId="30254A6D" w14:textId="77777777" w:rsidR="005A1AF4" w:rsidRPr="00C221C9" w:rsidRDefault="005A1AF4" w:rsidP="007B4939">
      <w:pPr>
        <w:pStyle w:val="2"/>
        <w:shd w:val="clear" w:color="auto" w:fill="auto"/>
        <w:tabs>
          <w:tab w:val="left" w:pos="709"/>
        </w:tabs>
        <w:spacing w:line="228" w:lineRule="auto"/>
        <w:ind w:left="20" w:right="23" w:firstLine="831"/>
        <w:rPr>
          <w:sz w:val="24"/>
          <w:szCs w:val="24"/>
          <w:shd w:val="clear" w:color="auto" w:fill="FFFFFF"/>
        </w:rPr>
      </w:pPr>
      <w:r w:rsidRPr="00C221C9">
        <w:rPr>
          <w:sz w:val="24"/>
          <w:szCs w:val="24"/>
        </w:rPr>
        <w:t>22. Витрати Оператора системи на здійснення робіт, які пов’язані з припиненням та відновлення електроживлення електроустановки споживача покриваються за рахунок коштів Постачальника, як ініціатора таких робіт,</w:t>
      </w:r>
      <w:r w:rsidRPr="00C221C9">
        <w:rPr>
          <w:sz w:val="24"/>
          <w:szCs w:val="24"/>
          <w:shd w:val="clear" w:color="auto" w:fill="FFFFFF"/>
        </w:rPr>
        <w:t xml:space="preserve"> які відшкодовуються йому споживачем, якщо припинення постачання (розподілу або передачі) електричної енергії споживачу здійснювалося у встановленому Правилами роздрібного ринку електричної енергії  порядку.</w:t>
      </w:r>
    </w:p>
    <w:p w14:paraId="21A4FE1B"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bookmarkStart w:id="2" w:name="_Hlk48217716"/>
      <w:r w:rsidRPr="00C221C9">
        <w:rPr>
          <w:sz w:val="24"/>
          <w:szCs w:val="24"/>
          <w:shd w:val="clear" w:color="auto" w:fill="FFFFFF"/>
        </w:rPr>
        <w:t xml:space="preserve">23. </w:t>
      </w:r>
      <w:r w:rsidRPr="00C221C9">
        <w:rPr>
          <w:sz w:val="24"/>
          <w:szCs w:val="24"/>
        </w:rPr>
        <w:t xml:space="preserve">У разі необхідності відновлення постачання електроенергії споживача, після усунення ним порушень умов укладених договорів про постачання електричної енергії, останній направляє Оператору системи електронною поштою реєстр таких споживачів за формою 5, що додається, з дотриманням вимог, що зазначені в п. </w:t>
      </w:r>
      <w:r w:rsidRPr="00ED04F6">
        <w:rPr>
          <w:sz w:val="24"/>
          <w:szCs w:val="24"/>
        </w:rPr>
        <w:t>11</w:t>
      </w:r>
      <w:r w:rsidRPr="00C221C9">
        <w:rPr>
          <w:sz w:val="24"/>
          <w:szCs w:val="24"/>
        </w:rPr>
        <w:t xml:space="preserve"> даного Додатку. </w:t>
      </w:r>
    </w:p>
    <w:bookmarkEnd w:id="2"/>
    <w:p w14:paraId="51B528BA"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24.</w:t>
      </w:r>
      <w:r w:rsidRPr="00C221C9">
        <w:rPr>
          <w:sz w:val="24"/>
          <w:szCs w:val="24"/>
        </w:rPr>
        <w:t xml:space="preserve"> У разі отримання Оператором системи від Постачальника звернення, щодо обмеження/припинення  електроживлення  споживача, який одночасно має заборгованість перед Оператором системи (в тому числі, по боргам, по яким Оператор системи є правонаступником у відповідності до п. 13 розділу XVII Закону України «Про ринок електричної енергії») і перед Постачальником, Оператором системи має право у повідомленні про обмеження/припинення електроживлення Споживача, зазначити про наявну заборгованість перед Оператором системи і припинити електроживлення Споживача за заборгованість перед Оператором системи і Постачальником. Таке повідомлення Оператор системи надсилає одночасно Постачальнику та Споживачу.</w:t>
      </w:r>
    </w:p>
    <w:p w14:paraId="2DE83606"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25.</w:t>
      </w:r>
      <w:r w:rsidRPr="00C221C9">
        <w:rPr>
          <w:sz w:val="24"/>
          <w:szCs w:val="24"/>
        </w:rPr>
        <w:t xml:space="preserve"> У відповідності до п. 24 даного Додатку, витрати з обмеження/припинення електроживлення Споживача, діляться порівну між Постачальником та Оператором системи. </w:t>
      </w:r>
    </w:p>
    <w:p w14:paraId="406D3E79"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26.</w:t>
      </w:r>
      <w:r w:rsidRPr="00C221C9">
        <w:rPr>
          <w:sz w:val="24"/>
          <w:szCs w:val="24"/>
        </w:rPr>
        <w:t xml:space="preserve"> Відновлення електроживлення Споживача, після його обмеження/припинення, з підстав зазначених в п. 24 даного Додатку здійснюється після усунення всіх причин (підстав), внаслідок яких було обмежено/припинено електроживлення Споживача. У разі несплати заборгованості споживача перед Оператором системи, Оператор системи має право відхилити звернення Постачальника щодо відновлення електроживлення такого Споживача, до моменту врегулювання заборгованості перед Оператором системи. (При умові що він був попереджений за борг перед ОСР).</w:t>
      </w:r>
    </w:p>
    <w:p w14:paraId="3A028DEF"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27.</w:t>
      </w:r>
      <w:r w:rsidRPr="00C221C9">
        <w:rPr>
          <w:sz w:val="24"/>
          <w:szCs w:val="24"/>
        </w:rPr>
        <w:t xml:space="preserve"> Відновлення електроживлення Споживача, у разі наявності причин (підстав), визначених в п. 24, здійснюється за ініціативою Оператора системи або Постачальника лише за наявності підтвердження усунення виявлених порушень, оплати заборгованості за надані послуги та/або несанкціонований відбір електричної енергії, а також відшкодування витрат на обмеження/припинення електроживлення Споживача, що понесли Оператор системи, Постачальник та/або треті особи.</w:t>
      </w:r>
    </w:p>
    <w:p w14:paraId="0F0BEBD5"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28.</w:t>
      </w:r>
      <w:r w:rsidRPr="00C221C9">
        <w:rPr>
          <w:sz w:val="24"/>
          <w:szCs w:val="24"/>
        </w:rPr>
        <w:t xml:space="preserve"> Оператор системи, без окремого погодження з боку Постачальника, має право  на договірних засадах доручати виконання обмеження, припинення та відновлення  постачання електроенергії споживачу третім особам (в т.ч. КЖЕП, ОСББ та ін.) та для виконання цього, передавати  залученим третім особам необхідну інформацію/дані, сформовані на основі форм 1,4,5, наданих Постачальником Оператору системи. Відповідальність за дії третіх осіб, залучених Оператором системи до виконання обмеження, припинення та відновлення постачання електроенергії споживачу перед Постачальником, несе Оператор системи. </w:t>
      </w:r>
    </w:p>
    <w:p w14:paraId="57631455"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lastRenderedPageBreak/>
        <w:t>29.</w:t>
      </w:r>
      <w:r w:rsidRPr="00C221C9">
        <w:rPr>
          <w:sz w:val="24"/>
          <w:szCs w:val="24"/>
        </w:rPr>
        <w:t xml:space="preserve"> У випадку розірвання (припинення) договору про постачання між Постачальником та Споживачем, до моменту відновлення постачання електроенергії споживачу звернення щодо відновлення постачання електроенергії надає Споживач, за умови укладення ним договору про постачання з новим Постачальником, або новий Постачальник такого Споживача.</w:t>
      </w:r>
    </w:p>
    <w:p w14:paraId="0F0FE570"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30.</w:t>
      </w:r>
      <w:r w:rsidRPr="00C221C9">
        <w:rPr>
          <w:sz w:val="24"/>
          <w:szCs w:val="24"/>
        </w:rPr>
        <w:t xml:space="preserve"> Якщо дата обмеження, припинення та/або відновлення електроживлення не побутового Споживача, що зазначена у зверненні Постачальника припадає на вихідний та/або святковий день – таке звернення виконується в останній робочий день до вихідного та/або святкового дня.</w:t>
      </w:r>
    </w:p>
    <w:p w14:paraId="6FE1A405"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 xml:space="preserve">31. </w:t>
      </w:r>
      <w:r w:rsidRPr="00C221C9">
        <w:rPr>
          <w:sz w:val="24"/>
          <w:szCs w:val="24"/>
        </w:rPr>
        <w:t>Робочим часом Оператора системи  є час з 08:00 – 17:00 з понеділка по четверг, та з 08:00 – 15:45 в п’ятницю, окрім вихідних та святкових днів, визначених діючим законодавством України.</w:t>
      </w:r>
    </w:p>
    <w:p w14:paraId="3E5E45B5" w14:textId="77777777" w:rsidR="005A1AF4" w:rsidRPr="00C221C9" w:rsidRDefault="005A1AF4" w:rsidP="007B4939">
      <w:pPr>
        <w:pStyle w:val="2"/>
        <w:shd w:val="clear" w:color="auto" w:fill="auto"/>
        <w:tabs>
          <w:tab w:val="left" w:pos="709"/>
        </w:tabs>
        <w:spacing w:line="228" w:lineRule="auto"/>
        <w:ind w:left="20" w:right="23" w:firstLine="831"/>
        <w:rPr>
          <w:sz w:val="24"/>
          <w:szCs w:val="24"/>
        </w:rPr>
      </w:pPr>
      <w:r w:rsidRPr="00C221C9">
        <w:rPr>
          <w:sz w:val="24"/>
          <w:szCs w:val="24"/>
          <w:shd w:val="clear" w:color="auto" w:fill="FFFFFF"/>
        </w:rPr>
        <w:t xml:space="preserve">32. </w:t>
      </w:r>
      <w:r w:rsidRPr="00C221C9">
        <w:rPr>
          <w:sz w:val="24"/>
          <w:szCs w:val="24"/>
        </w:rPr>
        <w:t>Вимоги даного Протоколу є обов’язковими для Сторін та їх працівників при виконанні Сторонами договору Постачальника про надання послуг з розподілу електричної енергії.</w:t>
      </w:r>
    </w:p>
    <w:p w14:paraId="41A50E31" w14:textId="77777777" w:rsidR="005A1AF4" w:rsidRDefault="005A1AF4" w:rsidP="007B4939">
      <w:pPr>
        <w:pStyle w:val="2"/>
        <w:tabs>
          <w:tab w:val="left" w:pos="426"/>
        </w:tabs>
        <w:spacing w:line="228" w:lineRule="auto"/>
      </w:pPr>
    </w:p>
    <w:p w14:paraId="741E34AE" w14:textId="77777777" w:rsidR="005A1AF4" w:rsidRDefault="005A1AF4" w:rsidP="001D071C">
      <w:pPr>
        <w:tabs>
          <w:tab w:val="left" w:pos="1276"/>
        </w:tabs>
        <w:jc w:val="both"/>
        <w:rPr>
          <w:rFonts w:ascii="Times New Roman" w:hAnsi="Times New Roman"/>
        </w:rPr>
      </w:pPr>
    </w:p>
    <w:p w14:paraId="45D7F0F8" w14:textId="77777777" w:rsidR="001D071C" w:rsidRPr="00312EDE" w:rsidRDefault="001D071C" w:rsidP="001D071C">
      <w:pPr>
        <w:pStyle w:val="a5"/>
        <w:spacing w:before="0" w:beforeAutospacing="0" w:after="0" w:afterAutospacing="0"/>
        <w:jc w:val="both"/>
        <w:rPr>
          <w:lang w:val="uk-UA"/>
        </w:rPr>
      </w:pPr>
      <w:r w:rsidRPr="00312EDE">
        <w:rPr>
          <w:b/>
          <w:bCs/>
          <w:lang w:val="uk-UA"/>
        </w:rPr>
        <w:t>Оператор системи                                                           Постачальник</w:t>
      </w:r>
    </w:p>
    <w:p w14:paraId="08443A61" w14:textId="77777777" w:rsidR="001D071C" w:rsidRPr="00312EDE" w:rsidRDefault="001D071C" w:rsidP="001D071C">
      <w:pPr>
        <w:pStyle w:val="a5"/>
        <w:spacing w:before="0" w:beforeAutospacing="0" w:after="0" w:afterAutospacing="0"/>
        <w:jc w:val="both"/>
        <w:rPr>
          <w:lang w:val="uk-UA"/>
        </w:rPr>
      </w:pPr>
    </w:p>
    <w:p w14:paraId="3C805E60" w14:textId="77777777" w:rsidR="001D071C" w:rsidRPr="00312EDE" w:rsidRDefault="001D071C" w:rsidP="001D071C">
      <w:pPr>
        <w:pStyle w:val="a5"/>
        <w:spacing w:before="0" w:beforeAutospacing="0" w:after="0" w:afterAutospacing="0"/>
        <w:jc w:val="both"/>
        <w:rPr>
          <w:lang w:val="uk-UA"/>
        </w:rPr>
      </w:pPr>
    </w:p>
    <w:p w14:paraId="3C6CC1C1" w14:textId="77777777" w:rsidR="001D071C" w:rsidRPr="00312EDE" w:rsidRDefault="001D071C" w:rsidP="001D071C">
      <w:pPr>
        <w:tabs>
          <w:tab w:val="left" w:pos="1276"/>
        </w:tabs>
        <w:ind w:firstLine="709"/>
        <w:jc w:val="both"/>
        <w:rPr>
          <w:rFonts w:ascii="Times New Roman" w:hAnsi="Times New Roman"/>
        </w:rPr>
      </w:pPr>
    </w:p>
    <w:p w14:paraId="3351E1C1" w14:textId="77777777" w:rsidR="001D071C" w:rsidRPr="00312EDE" w:rsidRDefault="001D071C" w:rsidP="001D071C">
      <w:pPr>
        <w:spacing w:line="1" w:lineRule="exact"/>
      </w:pPr>
    </w:p>
    <w:bookmarkEnd w:id="0"/>
    <w:p w14:paraId="674E7E61" w14:textId="77777777" w:rsidR="001D071C" w:rsidRDefault="001D071C" w:rsidP="001D071C">
      <w:pPr>
        <w:tabs>
          <w:tab w:val="left" w:pos="1276"/>
        </w:tabs>
        <w:jc w:val="both"/>
        <w:rPr>
          <w:rFonts w:ascii="Times New Roman" w:hAnsi="Times New Roman"/>
        </w:rPr>
      </w:pPr>
    </w:p>
    <w:sectPr w:rsidR="001D071C" w:rsidSect="004D36C0">
      <w:headerReference w:type="even" r:id="rId7"/>
      <w:headerReference w:type="default" r:id="rId8"/>
      <w:footerReference w:type="even" r:id="rId9"/>
      <w:footerReference w:type="default" r:id="rId10"/>
      <w:headerReference w:type="first" r:id="rId11"/>
      <w:footerReference w:type="first" r:id="rId12"/>
      <w:pgSz w:w="11900" w:h="16840"/>
      <w:pgMar w:top="514" w:right="439" w:bottom="232" w:left="9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976C" w14:textId="77777777" w:rsidR="00106A1E" w:rsidRDefault="00106A1E">
      <w:r>
        <w:separator/>
      </w:r>
    </w:p>
  </w:endnote>
  <w:endnote w:type="continuationSeparator" w:id="0">
    <w:p w14:paraId="71F35FBD" w14:textId="77777777" w:rsidR="00106A1E" w:rsidRDefault="0010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71F9" w14:textId="77777777" w:rsidR="005A1AF4" w:rsidRDefault="005A1A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E064" w14:textId="77777777" w:rsidR="005A1AF4" w:rsidRPr="00080023" w:rsidRDefault="005A1AF4">
    <w:pPr>
      <w:pStyle w:val="a8"/>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BD2C" w14:textId="77777777" w:rsidR="005A1AF4" w:rsidRDefault="005A1A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CEF9" w14:textId="77777777" w:rsidR="00106A1E" w:rsidRDefault="00106A1E"/>
  </w:footnote>
  <w:footnote w:type="continuationSeparator" w:id="0">
    <w:p w14:paraId="2C82CEB0" w14:textId="77777777" w:rsidR="00106A1E" w:rsidRDefault="00106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6CD1" w14:textId="77777777" w:rsidR="005A1AF4" w:rsidRDefault="005A1A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FC42" w14:textId="7B74C22E" w:rsidR="005A1AF4" w:rsidRDefault="00633192">
    <w:pPr>
      <w:pStyle w:val="a6"/>
    </w:pPr>
    <w:r>
      <w:rPr>
        <w:noProof/>
      </w:rPr>
      <w:drawing>
        <wp:inline distT="0" distB="0" distL="0" distR="0" wp14:anchorId="6B17BE6D" wp14:editId="73A426E3">
          <wp:extent cx="4076700" cy="624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700" cy="624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24A8" w14:textId="77777777" w:rsidR="005A1AF4" w:rsidRDefault="005A1A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B5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0521BBE"/>
    <w:multiLevelType w:val="hybridMultilevel"/>
    <w:tmpl w:val="EBC6C27C"/>
    <w:lvl w:ilvl="0" w:tplc="C360AB6C">
      <w:start w:val="15"/>
      <w:numFmt w:val="bullet"/>
      <w:lvlText w:val="-"/>
      <w:lvlJc w:val="left"/>
      <w:pPr>
        <w:ind w:left="380" w:hanging="360"/>
      </w:pPr>
      <w:rPr>
        <w:rFonts w:ascii="Times New Roman" w:eastAsia="Times New Roman" w:hAnsi="Times New Roman" w:hint="default"/>
      </w:rPr>
    </w:lvl>
    <w:lvl w:ilvl="1" w:tplc="04220003" w:tentative="1">
      <w:start w:val="1"/>
      <w:numFmt w:val="bullet"/>
      <w:lvlText w:val="o"/>
      <w:lvlJc w:val="left"/>
      <w:pPr>
        <w:ind w:left="1100" w:hanging="360"/>
      </w:pPr>
      <w:rPr>
        <w:rFonts w:ascii="Courier New" w:hAnsi="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hint="default"/>
      </w:rPr>
    </w:lvl>
    <w:lvl w:ilvl="8" w:tplc="04220005" w:tentative="1">
      <w:start w:val="1"/>
      <w:numFmt w:val="bullet"/>
      <w:lvlText w:val=""/>
      <w:lvlJc w:val="left"/>
      <w:pPr>
        <w:ind w:left="61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AA"/>
    <w:rsid w:val="00080023"/>
    <w:rsid w:val="000B1C39"/>
    <w:rsid w:val="000B353E"/>
    <w:rsid w:val="000B6EE5"/>
    <w:rsid w:val="000F3F62"/>
    <w:rsid w:val="00106A1E"/>
    <w:rsid w:val="001C17B3"/>
    <w:rsid w:val="001D00EE"/>
    <w:rsid w:val="001D071C"/>
    <w:rsid w:val="00205AC9"/>
    <w:rsid w:val="002917A6"/>
    <w:rsid w:val="002A4936"/>
    <w:rsid w:val="002A60A9"/>
    <w:rsid w:val="002B445C"/>
    <w:rsid w:val="002E43DB"/>
    <w:rsid w:val="00307D10"/>
    <w:rsid w:val="00311497"/>
    <w:rsid w:val="003609A0"/>
    <w:rsid w:val="003759AA"/>
    <w:rsid w:val="00380648"/>
    <w:rsid w:val="003B59A4"/>
    <w:rsid w:val="003D23F7"/>
    <w:rsid w:val="003F54E1"/>
    <w:rsid w:val="003F7426"/>
    <w:rsid w:val="00403CAA"/>
    <w:rsid w:val="00410DA4"/>
    <w:rsid w:val="004557DF"/>
    <w:rsid w:val="00487056"/>
    <w:rsid w:val="004943CB"/>
    <w:rsid w:val="004D36C0"/>
    <w:rsid w:val="004D5293"/>
    <w:rsid w:val="004E0506"/>
    <w:rsid w:val="005367B0"/>
    <w:rsid w:val="0054472E"/>
    <w:rsid w:val="00557594"/>
    <w:rsid w:val="00575B95"/>
    <w:rsid w:val="00583EFA"/>
    <w:rsid w:val="005A1AF4"/>
    <w:rsid w:val="005A392F"/>
    <w:rsid w:val="005B057D"/>
    <w:rsid w:val="005B1E3B"/>
    <w:rsid w:val="005B20D7"/>
    <w:rsid w:val="005B4E61"/>
    <w:rsid w:val="005E4C4B"/>
    <w:rsid w:val="006274DE"/>
    <w:rsid w:val="00633192"/>
    <w:rsid w:val="00634DD5"/>
    <w:rsid w:val="00664A28"/>
    <w:rsid w:val="006B0747"/>
    <w:rsid w:val="006D6196"/>
    <w:rsid w:val="006E2724"/>
    <w:rsid w:val="006E3930"/>
    <w:rsid w:val="006F03F4"/>
    <w:rsid w:val="006F6842"/>
    <w:rsid w:val="007025D3"/>
    <w:rsid w:val="007463A7"/>
    <w:rsid w:val="00773825"/>
    <w:rsid w:val="007A09FC"/>
    <w:rsid w:val="007B4939"/>
    <w:rsid w:val="007D656E"/>
    <w:rsid w:val="00823BAE"/>
    <w:rsid w:val="00874B7B"/>
    <w:rsid w:val="00894604"/>
    <w:rsid w:val="008A1B09"/>
    <w:rsid w:val="008C301E"/>
    <w:rsid w:val="008D14D4"/>
    <w:rsid w:val="008E47E5"/>
    <w:rsid w:val="008F15CD"/>
    <w:rsid w:val="009161D1"/>
    <w:rsid w:val="00986381"/>
    <w:rsid w:val="009C5A0E"/>
    <w:rsid w:val="009C61F2"/>
    <w:rsid w:val="009D179B"/>
    <w:rsid w:val="00A1145C"/>
    <w:rsid w:val="00A365B2"/>
    <w:rsid w:val="00AB0232"/>
    <w:rsid w:val="00AB48AF"/>
    <w:rsid w:val="00B171F1"/>
    <w:rsid w:val="00B17CE9"/>
    <w:rsid w:val="00B56EDD"/>
    <w:rsid w:val="00B91CA7"/>
    <w:rsid w:val="00BA5846"/>
    <w:rsid w:val="00BE05A3"/>
    <w:rsid w:val="00C221C9"/>
    <w:rsid w:val="00C41A07"/>
    <w:rsid w:val="00C60081"/>
    <w:rsid w:val="00CB6ED1"/>
    <w:rsid w:val="00CD2CF6"/>
    <w:rsid w:val="00CE0837"/>
    <w:rsid w:val="00CF5045"/>
    <w:rsid w:val="00D75254"/>
    <w:rsid w:val="00D80B25"/>
    <w:rsid w:val="00DC4BC7"/>
    <w:rsid w:val="00DD7F3B"/>
    <w:rsid w:val="00E1359A"/>
    <w:rsid w:val="00E31BC9"/>
    <w:rsid w:val="00E8322F"/>
    <w:rsid w:val="00E90150"/>
    <w:rsid w:val="00E95E72"/>
    <w:rsid w:val="00EC436C"/>
    <w:rsid w:val="00ED04F6"/>
    <w:rsid w:val="00EE7A4B"/>
    <w:rsid w:val="00F25650"/>
    <w:rsid w:val="00FC1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30A6AC"/>
  <w15:docId w15:val="{93137B82-0367-4C90-A5C8-27132C4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EDD"/>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uiPriority w:val="99"/>
    <w:locked/>
    <w:rsid w:val="00B56EDD"/>
    <w:rPr>
      <w:rFonts w:ascii="Times New Roman" w:hAnsi="Times New Roman"/>
      <w:u w:val="none"/>
      <w:shd w:val="clear" w:color="auto" w:fill="auto"/>
    </w:rPr>
  </w:style>
  <w:style w:type="character" w:customStyle="1" w:styleId="Bodytext2">
    <w:name w:val="Body text (2)_"/>
    <w:link w:val="Bodytext20"/>
    <w:uiPriority w:val="99"/>
    <w:locked/>
    <w:rsid w:val="00B56EDD"/>
    <w:rPr>
      <w:rFonts w:ascii="Cambria" w:hAnsi="Cambria"/>
      <w:b/>
      <w:sz w:val="26"/>
      <w:u w:val="none"/>
      <w:shd w:val="clear" w:color="auto" w:fill="auto"/>
    </w:rPr>
  </w:style>
  <w:style w:type="character" w:customStyle="1" w:styleId="Tablecaption">
    <w:name w:val="Table caption_"/>
    <w:link w:val="Tablecaption0"/>
    <w:uiPriority w:val="99"/>
    <w:locked/>
    <w:rsid w:val="00B56EDD"/>
    <w:rPr>
      <w:rFonts w:ascii="Times New Roman" w:hAnsi="Times New Roman"/>
      <w:i/>
      <w:sz w:val="16"/>
      <w:u w:val="none"/>
      <w:shd w:val="clear" w:color="auto" w:fill="auto"/>
    </w:rPr>
  </w:style>
  <w:style w:type="character" w:customStyle="1" w:styleId="Other">
    <w:name w:val="Other_"/>
    <w:link w:val="Other0"/>
    <w:uiPriority w:val="99"/>
    <w:locked/>
    <w:rsid w:val="00B56EDD"/>
    <w:rPr>
      <w:rFonts w:ascii="Times New Roman" w:hAnsi="Times New Roman"/>
      <w:u w:val="none"/>
      <w:shd w:val="clear" w:color="auto" w:fill="auto"/>
    </w:rPr>
  </w:style>
  <w:style w:type="character" w:customStyle="1" w:styleId="Bodytext3">
    <w:name w:val="Body text (3)_"/>
    <w:link w:val="Bodytext30"/>
    <w:uiPriority w:val="99"/>
    <w:locked/>
    <w:rsid w:val="00B56EDD"/>
    <w:rPr>
      <w:rFonts w:ascii="Times New Roman" w:hAnsi="Times New Roman"/>
      <w:i/>
      <w:sz w:val="16"/>
      <w:u w:val="none"/>
      <w:shd w:val="clear" w:color="auto" w:fill="auto"/>
    </w:rPr>
  </w:style>
  <w:style w:type="paragraph" w:styleId="a4">
    <w:name w:val="Body Text"/>
    <w:basedOn w:val="a"/>
    <w:link w:val="a3"/>
    <w:uiPriority w:val="99"/>
    <w:rsid w:val="00B56EDD"/>
    <w:pPr>
      <w:spacing w:after="100"/>
      <w:ind w:firstLine="280"/>
    </w:pPr>
    <w:rPr>
      <w:rFonts w:ascii="Times New Roman" w:hAnsi="Times New Roman" w:cs="Times New Roman"/>
      <w:color w:val="auto"/>
      <w:sz w:val="20"/>
      <w:szCs w:val="20"/>
      <w:lang w:val="ru-RU" w:eastAsia="ru-RU"/>
    </w:rPr>
  </w:style>
  <w:style w:type="character" w:customStyle="1" w:styleId="BodyTextChar1">
    <w:name w:val="Body Text Char1"/>
    <w:uiPriority w:val="99"/>
    <w:semiHidden/>
    <w:rsid w:val="00CB6ED1"/>
    <w:rPr>
      <w:rFonts w:cs="Times New Roman"/>
      <w:color w:val="000000"/>
      <w:sz w:val="24"/>
      <w:lang w:val="uk-UA" w:eastAsia="uk-UA"/>
    </w:rPr>
  </w:style>
  <w:style w:type="paragraph" w:customStyle="1" w:styleId="Bodytext20">
    <w:name w:val="Body text (2)"/>
    <w:basedOn w:val="a"/>
    <w:link w:val="Bodytext2"/>
    <w:uiPriority w:val="99"/>
    <w:rsid w:val="00B56EDD"/>
    <w:pPr>
      <w:spacing w:after="280"/>
      <w:jc w:val="center"/>
    </w:pPr>
    <w:rPr>
      <w:rFonts w:ascii="Cambria" w:hAnsi="Cambria" w:cs="Times New Roman"/>
      <w:b/>
      <w:color w:val="auto"/>
      <w:sz w:val="26"/>
      <w:szCs w:val="20"/>
      <w:lang w:val="ru-RU" w:eastAsia="ru-RU"/>
    </w:rPr>
  </w:style>
  <w:style w:type="paragraph" w:customStyle="1" w:styleId="Tablecaption0">
    <w:name w:val="Table caption"/>
    <w:basedOn w:val="a"/>
    <w:link w:val="Tablecaption"/>
    <w:uiPriority w:val="99"/>
    <w:rsid w:val="00B56EDD"/>
    <w:pPr>
      <w:spacing w:line="223" w:lineRule="auto"/>
    </w:pPr>
    <w:rPr>
      <w:rFonts w:ascii="Times New Roman" w:hAnsi="Times New Roman" w:cs="Times New Roman"/>
      <w:i/>
      <w:color w:val="auto"/>
      <w:sz w:val="16"/>
      <w:szCs w:val="20"/>
      <w:lang w:val="ru-RU" w:eastAsia="ru-RU"/>
    </w:rPr>
  </w:style>
  <w:style w:type="paragraph" w:customStyle="1" w:styleId="Other0">
    <w:name w:val="Other"/>
    <w:basedOn w:val="a"/>
    <w:link w:val="Other"/>
    <w:uiPriority w:val="99"/>
    <w:rsid w:val="00B56EDD"/>
    <w:pPr>
      <w:spacing w:after="100"/>
      <w:ind w:firstLine="280"/>
    </w:pPr>
    <w:rPr>
      <w:rFonts w:ascii="Times New Roman" w:hAnsi="Times New Roman" w:cs="Times New Roman"/>
      <w:color w:val="auto"/>
      <w:sz w:val="20"/>
      <w:szCs w:val="20"/>
      <w:lang w:val="ru-RU" w:eastAsia="ru-RU"/>
    </w:rPr>
  </w:style>
  <w:style w:type="paragraph" w:customStyle="1" w:styleId="Bodytext30">
    <w:name w:val="Body text (3)"/>
    <w:basedOn w:val="a"/>
    <w:link w:val="Bodytext3"/>
    <w:uiPriority w:val="99"/>
    <w:rsid w:val="00B56EDD"/>
    <w:rPr>
      <w:rFonts w:ascii="Times New Roman" w:hAnsi="Times New Roman" w:cs="Times New Roman"/>
      <w:i/>
      <w:color w:val="auto"/>
      <w:sz w:val="16"/>
      <w:szCs w:val="20"/>
      <w:lang w:val="ru-RU" w:eastAsia="ru-RU"/>
    </w:rPr>
  </w:style>
  <w:style w:type="paragraph" w:styleId="a5">
    <w:name w:val="Normal (Web)"/>
    <w:basedOn w:val="a"/>
    <w:uiPriority w:val="99"/>
    <w:rsid w:val="001C17B3"/>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6">
    <w:name w:val="header"/>
    <w:basedOn w:val="a"/>
    <w:link w:val="a7"/>
    <w:uiPriority w:val="99"/>
    <w:rsid w:val="00AB48AF"/>
    <w:pPr>
      <w:tabs>
        <w:tab w:val="center" w:pos="4677"/>
        <w:tab w:val="right" w:pos="9355"/>
      </w:tabs>
    </w:pPr>
    <w:rPr>
      <w:rFonts w:cs="Times New Roman"/>
      <w:sz w:val="20"/>
      <w:szCs w:val="20"/>
    </w:rPr>
  </w:style>
  <w:style w:type="character" w:customStyle="1" w:styleId="a7">
    <w:name w:val="Верхній колонтитул Знак"/>
    <w:link w:val="a6"/>
    <w:uiPriority w:val="99"/>
    <w:locked/>
    <w:rsid w:val="00AB48AF"/>
    <w:rPr>
      <w:rFonts w:cs="Times New Roman"/>
      <w:color w:val="000000"/>
    </w:rPr>
  </w:style>
  <w:style w:type="paragraph" w:styleId="a8">
    <w:name w:val="footer"/>
    <w:basedOn w:val="a"/>
    <w:link w:val="a9"/>
    <w:uiPriority w:val="99"/>
    <w:rsid w:val="00AB48AF"/>
    <w:pPr>
      <w:tabs>
        <w:tab w:val="center" w:pos="4677"/>
        <w:tab w:val="right" w:pos="9355"/>
      </w:tabs>
    </w:pPr>
    <w:rPr>
      <w:rFonts w:cs="Times New Roman"/>
      <w:sz w:val="20"/>
      <w:szCs w:val="20"/>
    </w:rPr>
  </w:style>
  <w:style w:type="character" w:customStyle="1" w:styleId="a9">
    <w:name w:val="Нижній колонтитул Знак"/>
    <w:link w:val="a8"/>
    <w:uiPriority w:val="99"/>
    <w:locked/>
    <w:rsid w:val="00AB48AF"/>
    <w:rPr>
      <w:rFonts w:cs="Times New Roman"/>
      <w:color w:val="000000"/>
    </w:rPr>
  </w:style>
  <w:style w:type="character" w:styleId="aa">
    <w:name w:val="Hyperlink"/>
    <w:uiPriority w:val="99"/>
    <w:semiHidden/>
    <w:rsid w:val="004D36C0"/>
    <w:rPr>
      <w:rFonts w:cs="Times New Roman"/>
      <w:color w:val="0000FF"/>
      <w:u w:val="single"/>
    </w:rPr>
  </w:style>
  <w:style w:type="paragraph" w:styleId="ab">
    <w:name w:val="List Paragraph"/>
    <w:basedOn w:val="a"/>
    <w:uiPriority w:val="99"/>
    <w:qFormat/>
    <w:rsid w:val="004D36C0"/>
    <w:pPr>
      <w:widowControl/>
      <w:spacing w:after="200" w:line="276" w:lineRule="auto"/>
      <w:ind w:left="720"/>
    </w:pPr>
    <w:rPr>
      <w:rFonts w:ascii="Calibri" w:hAnsi="Calibri" w:cs="Times New Roman"/>
      <w:color w:val="auto"/>
      <w:sz w:val="22"/>
      <w:szCs w:val="22"/>
      <w:lang w:eastAsia="en-US"/>
    </w:rPr>
  </w:style>
  <w:style w:type="paragraph" w:customStyle="1" w:styleId="Default">
    <w:name w:val="Default"/>
    <w:uiPriority w:val="99"/>
    <w:rsid w:val="004D36C0"/>
    <w:pPr>
      <w:autoSpaceDE w:val="0"/>
      <w:autoSpaceDN w:val="0"/>
      <w:adjustRightInd w:val="0"/>
    </w:pPr>
    <w:rPr>
      <w:rFonts w:cs="Times New Roman"/>
      <w:color w:val="000000"/>
      <w:sz w:val="24"/>
      <w:szCs w:val="24"/>
      <w:lang w:val="ru-RU"/>
    </w:rPr>
  </w:style>
  <w:style w:type="table" w:styleId="ac">
    <w:name w:val="Table Grid"/>
    <w:basedOn w:val="a1"/>
    <w:uiPriority w:val="99"/>
    <w:rsid w:val="002E43D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2"/>
    <w:uiPriority w:val="99"/>
    <w:locked/>
    <w:rsid w:val="00C41A07"/>
    <w:rPr>
      <w:rFonts w:ascii="Times New Roman" w:hAnsi="Times New Roman"/>
      <w:sz w:val="22"/>
      <w:shd w:val="clear" w:color="auto" w:fill="FFFFFF"/>
    </w:rPr>
  </w:style>
  <w:style w:type="paragraph" w:customStyle="1" w:styleId="2">
    <w:name w:val="Основной текст2"/>
    <w:basedOn w:val="a"/>
    <w:link w:val="ad"/>
    <w:uiPriority w:val="99"/>
    <w:rsid w:val="00C41A07"/>
    <w:pPr>
      <w:shd w:val="clear" w:color="auto" w:fill="FFFFFF"/>
      <w:spacing w:line="274" w:lineRule="exact"/>
      <w:jc w:val="both"/>
    </w:pPr>
    <w:rPr>
      <w:rFonts w:ascii="Times New Roman" w:hAnsi="Times New Roman" w:cs="Times New Roman"/>
      <w:color w:val="auto"/>
      <w:sz w:val="22"/>
      <w:szCs w:val="20"/>
      <w:lang w:val="ru-RU" w:eastAsia="ru-RU"/>
    </w:rPr>
  </w:style>
  <w:style w:type="paragraph" w:styleId="ae">
    <w:name w:val="Plain Text"/>
    <w:basedOn w:val="a"/>
    <w:link w:val="af"/>
    <w:uiPriority w:val="99"/>
    <w:semiHidden/>
    <w:rsid w:val="00C41A07"/>
    <w:pPr>
      <w:widowControl/>
    </w:pPr>
    <w:rPr>
      <w:rFonts w:ascii="Consolas" w:eastAsia="Times New Roman" w:hAnsi="Consolas" w:cs="Times New Roman"/>
      <w:color w:val="auto"/>
      <w:sz w:val="21"/>
      <w:szCs w:val="21"/>
      <w:lang w:eastAsia="en-US"/>
    </w:rPr>
  </w:style>
  <w:style w:type="character" w:customStyle="1" w:styleId="af">
    <w:name w:val="Текст Знак"/>
    <w:link w:val="ae"/>
    <w:uiPriority w:val="99"/>
    <w:semiHidden/>
    <w:locked/>
    <w:rsid w:val="00C41A07"/>
    <w:rPr>
      <w:rFonts w:ascii="Consolas" w:hAnsi="Consolas" w:cs="Times New Roman"/>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96431">
      <w:marLeft w:val="0"/>
      <w:marRight w:val="0"/>
      <w:marTop w:val="0"/>
      <w:marBottom w:val="0"/>
      <w:divBdr>
        <w:top w:val="none" w:sz="0" w:space="0" w:color="auto"/>
        <w:left w:val="none" w:sz="0" w:space="0" w:color="auto"/>
        <w:bottom w:val="none" w:sz="0" w:space="0" w:color="auto"/>
        <w:right w:val="none" w:sz="0" w:space="0" w:color="auto"/>
      </w:divBdr>
    </w:div>
    <w:div w:id="1595896432">
      <w:marLeft w:val="0"/>
      <w:marRight w:val="0"/>
      <w:marTop w:val="0"/>
      <w:marBottom w:val="0"/>
      <w:divBdr>
        <w:top w:val="none" w:sz="0" w:space="0" w:color="auto"/>
        <w:left w:val="none" w:sz="0" w:space="0" w:color="auto"/>
        <w:bottom w:val="none" w:sz="0" w:space="0" w:color="auto"/>
        <w:right w:val="none" w:sz="0" w:space="0" w:color="auto"/>
      </w:divBdr>
    </w:div>
    <w:div w:id="15958964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9634</Words>
  <Characters>5492</Characters>
  <Application>Microsoft Office Word</Application>
  <DocSecurity>0</DocSecurity>
  <Lines>45</Lines>
  <Paragraphs>30</Paragraphs>
  <ScaleCrop>false</ScaleCrop>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Оплата за фактом</dc:title>
  <dc:subject/>
  <dc:creator>PM</dc:creator>
  <cp:keywords/>
  <dc:description/>
  <cp:lastModifiedBy>Короп Любов Миколаївна</cp:lastModifiedBy>
  <cp:revision>2</cp:revision>
  <dcterms:created xsi:type="dcterms:W3CDTF">2021-07-15T06:03:00Z</dcterms:created>
  <dcterms:modified xsi:type="dcterms:W3CDTF">2021-07-15T06:03:00Z</dcterms:modified>
</cp:coreProperties>
</file>