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B7E2" w14:textId="77777777" w:rsidR="005A1AF4" w:rsidRDefault="005A1AF4" w:rsidP="004D36C0">
      <w:pPr>
        <w:ind w:left="5103"/>
        <w:rPr>
          <w:rFonts w:ascii="Times New Roman" w:hAnsi="Times New Roman"/>
          <w:color w:val="auto"/>
        </w:rPr>
      </w:pPr>
      <w:bookmarkStart w:id="0" w:name="_Hlk47988379"/>
      <w:r>
        <w:rPr>
          <w:rFonts w:ascii="Times New Roman" w:hAnsi="Times New Roman"/>
        </w:rPr>
        <w:t xml:space="preserve">Додаток № </w:t>
      </w:r>
      <w:r>
        <w:rPr>
          <w:rFonts w:ascii="Times New Roman" w:hAnsi="Times New Roman"/>
          <w:lang w:val="ru-RU"/>
        </w:rPr>
        <w:t xml:space="preserve">4 </w:t>
      </w:r>
    </w:p>
    <w:p w14:paraId="00E40E61" w14:textId="77777777" w:rsidR="005A1AF4" w:rsidRDefault="005A1AF4" w:rsidP="004D36C0">
      <w:pPr>
        <w:ind w:left="5103"/>
        <w:rPr>
          <w:rFonts w:ascii="Times New Roman" w:hAnsi="Times New Roman"/>
        </w:rPr>
      </w:pPr>
      <w:r>
        <w:rPr>
          <w:rFonts w:ascii="Times New Roman" w:hAnsi="Times New Roman"/>
        </w:rPr>
        <w:t>до Договору електропостачальника про надання послуг з розподілу (передачі) електричної енергії</w:t>
      </w:r>
    </w:p>
    <w:p w14:paraId="48085855" w14:textId="77777777" w:rsidR="005A1AF4" w:rsidRDefault="005A1AF4" w:rsidP="004D36C0">
      <w:pPr>
        <w:rPr>
          <w:rFonts w:ascii="Times New Roman" w:hAnsi="Times New Roman"/>
        </w:rPr>
      </w:pPr>
    </w:p>
    <w:p w14:paraId="03319E75" w14:textId="77777777" w:rsidR="005A1AF4" w:rsidRDefault="005A1AF4" w:rsidP="00C41A07">
      <w:pPr>
        <w:jc w:val="center"/>
        <w:rPr>
          <w:rFonts w:ascii="Times New Roman" w:hAnsi="Times New Roman"/>
          <w:b/>
        </w:rPr>
      </w:pPr>
      <w:r>
        <w:rPr>
          <w:rFonts w:ascii="Times New Roman" w:hAnsi="Times New Roman"/>
          <w:b/>
        </w:rPr>
        <w:t>Особливості здійснення обмеження, припинення та відновлення</w:t>
      </w:r>
    </w:p>
    <w:p w14:paraId="2198AAD3" w14:textId="77777777" w:rsidR="005A1AF4" w:rsidRDefault="005A1AF4" w:rsidP="00C41A07">
      <w:pPr>
        <w:jc w:val="center"/>
        <w:rPr>
          <w:rFonts w:ascii="Times New Roman" w:hAnsi="Times New Roman"/>
          <w:b/>
        </w:rPr>
      </w:pPr>
      <w:r>
        <w:rPr>
          <w:rFonts w:ascii="Times New Roman" w:hAnsi="Times New Roman"/>
          <w:b/>
        </w:rPr>
        <w:t>постачання електроенергії споживачу</w:t>
      </w:r>
    </w:p>
    <w:p w14:paraId="78DE1C98" w14:textId="77777777" w:rsidR="005A1AF4" w:rsidRDefault="005A1AF4" w:rsidP="00C41A07">
      <w:pPr>
        <w:jc w:val="center"/>
        <w:rPr>
          <w:rFonts w:ascii="Times New Roman" w:hAnsi="Times New Roman"/>
          <w:b/>
        </w:rPr>
      </w:pPr>
      <w:r>
        <w:rPr>
          <w:rFonts w:ascii="Times New Roman" w:hAnsi="Times New Roman"/>
          <w:b/>
        </w:rPr>
        <w:t>за вимогою Постачальника (далі – Протокол)</w:t>
      </w:r>
    </w:p>
    <w:p w14:paraId="7BFBF00C" w14:textId="77777777" w:rsidR="005A1AF4" w:rsidRDefault="005A1AF4" w:rsidP="00C41A07">
      <w:pPr>
        <w:jc w:val="center"/>
        <w:rPr>
          <w:rFonts w:ascii="Times New Roman" w:hAnsi="Times New Roman"/>
        </w:rPr>
      </w:pPr>
    </w:p>
    <w:p w14:paraId="0B34EDE1" w14:textId="77777777" w:rsidR="005A1AF4" w:rsidRPr="00C221C9" w:rsidRDefault="005A1AF4" w:rsidP="007B4939">
      <w:pPr>
        <w:pStyle w:val="2"/>
        <w:tabs>
          <w:tab w:val="left" w:pos="426"/>
        </w:tabs>
        <w:spacing w:line="228" w:lineRule="auto"/>
        <w:rPr>
          <w:sz w:val="24"/>
          <w:szCs w:val="24"/>
        </w:rPr>
      </w:pPr>
      <w:r w:rsidRPr="00DD7F3B">
        <w:rPr>
          <w:sz w:val="24"/>
          <w:szCs w:val="24"/>
        </w:rPr>
        <w:tab/>
      </w:r>
      <w:r w:rsidRPr="00C221C9">
        <w:rPr>
          <w:sz w:val="24"/>
          <w:szCs w:val="24"/>
        </w:rPr>
        <w:t>1. Постачальник звертається до Оператора системи щодо відключення (обмеження) та відновлення електроживлення споживача у випадках, визначених Правилами роздрібного ринку електричної енергії.</w:t>
      </w:r>
    </w:p>
    <w:p w14:paraId="08968B69" w14:textId="77777777" w:rsidR="005A1AF4" w:rsidRPr="00C221C9" w:rsidRDefault="005A1AF4" w:rsidP="007B4939">
      <w:pPr>
        <w:pStyle w:val="2"/>
        <w:shd w:val="clear" w:color="auto" w:fill="auto"/>
        <w:tabs>
          <w:tab w:val="left" w:pos="709"/>
        </w:tabs>
        <w:spacing w:line="228" w:lineRule="auto"/>
        <w:ind w:firstLine="426"/>
        <w:rPr>
          <w:sz w:val="24"/>
          <w:szCs w:val="24"/>
        </w:rPr>
      </w:pPr>
      <w:r w:rsidRPr="00C221C9">
        <w:rPr>
          <w:sz w:val="24"/>
          <w:szCs w:val="24"/>
        </w:rPr>
        <w:t>2. Послуги з припинення та відновлення постачання електричної енергії є платними послугами, які Постачальник замовляє, а Оператор системи надає, у терміни визначені Кодексом систем розподілу (далі – КСР) та Правилами роздрібного ринку електричної енергії (далі – ПРРЕЕ).</w:t>
      </w:r>
    </w:p>
    <w:p w14:paraId="126EF73D" w14:textId="77777777" w:rsidR="005A1AF4" w:rsidRPr="00C221C9" w:rsidRDefault="005A1AF4" w:rsidP="007B4939">
      <w:pPr>
        <w:pStyle w:val="2"/>
        <w:tabs>
          <w:tab w:val="left" w:pos="426"/>
        </w:tabs>
        <w:spacing w:line="228" w:lineRule="auto"/>
        <w:ind w:firstLine="426"/>
        <w:rPr>
          <w:sz w:val="24"/>
          <w:szCs w:val="24"/>
        </w:rPr>
      </w:pPr>
      <w:r w:rsidRPr="00C221C9">
        <w:rPr>
          <w:sz w:val="24"/>
          <w:szCs w:val="24"/>
        </w:rPr>
        <w:t>3. Виконання Оператором системи робіт з припинення та відновлення електроживлення споживача на підставі звернення Постачальника здійснюється у терміни визначені Кодексом систем розподілу та Правилами роздрібного ринку електричної енергії.</w:t>
      </w:r>
    </w:p>
    <w:p w14:paraId="460FAC90" w14:textId="77777777" w:rsidR="005A1AF4" w:rsidRPr="00C221C9" w:rsidRDefault="005A1AF4" w:rsidP="007B4939">
      <w:pPr>
        <w:pStyle w:val="2"/>
        <w:shd w:val="clear" w:color="auto" w:fill="auto"/>
        <w:tabs>
          <w:tab w:val="left" w:pos="709"/>
        </w:tabs>
        <w:spacing w:line="228" w:lineRule="auto"/>
        <w:ind w:firstLine="426"/>
        <w:rPr>
          <w:sz w:val="24"/>
          <w:szCs w:val="24"/>
        </w:rPr>
      </w:pPr>
      <w:r w:rsidRPr="00C221C9">
        <w:rPr>
          <w:sz w:val="24"/>
          <w:szCs w:val="24"/>
        </w:rPr>
        <w:t>4. Оператор системи не розглядає від споживачів електричної енергії заперечення щодо припинення електроживлення або звернення щодо неправомірності дій Постачальника.</w:t>
      </w:r>
    </w:p>
    <w:p w14:paraId="625BDC23" w14:textId="77777777" w:rsidR="005A1AF4" w:rsidRPr="00C221C9" w:rsidRDefault="005A1AF4" w:rsidP="007B4939">
      <w:pPr>
        <w:pStyle w:val="2"/>
        <w:shd w:val="clear" w:color="auto" w:fill="auto"/>
        <w:tabs>
          <w:tab w:val="left" w:pos="709"/>
        </w:tabs>
        <w:spacing w:line="228" w:lineRule="auto"/>
        <w:ind w:firstLine="426"/>
        <w:rPr>
          <w:sz w:val="24"/>
          <w:szCs w:val="24"/>
        </w:rPr>
      </w:pPr>
      <w:r w:rsidRPr="00C221C9">
        <w:rPr>
          <w:sz w:val="24"/>
          <w:szCs w:val="24"/>
        </w:rPr>
        <w:t xml:space="preserve">5. Оператор системи має право здійснювати обмеження, припинення та відновлення постачання електроенергії споживачу за власною ініціативою, у випадках передбачених Правилами роздрібного ринку та/або  Кодексом системи розподілу. </w:t>
      </w:r>
    </w:p>
    <w:p w14:paraId="79192405" w14:textId="77777777" w:rsidR="005A1AF4" w:rsidRPr="00C221C9" w:rsidRDefault="005A1AF4" w:rsidP="007B4939">
      <w:pPr>
        <w:pStyle w:val="2"/>
        <w:shd w:val="clear" w:color="auto" w:fill="auto"/>
        <w:tabs>
          <w:tab w:val="left" w:pos="709"/>
        </w:tabs>
        <w:spacing w:line="228" w:lineRule="auto"/>
        <w:ind w:firstLine="426"/>
        <w:rPr>
          <w:sz w:val="24"/>
          <w:szCs w:val="24"/>
        </w:rPr>
      </w:pPr>
      <w:r w:rsidRPr="00C221C9">
        <w:rPr>
          <w:sz w:val="24"/>
          <w:szCs w:val="24"/>
        </w:rPr>
        <w:t xml:space="preserve">6. Звернення Постачальника про припинення електроживлення споживача оформляється за формою, що наведена у формі додатку 1 до цього Протоколу та повинно містити дані, що ідентифікують відповідного споживача електричної енергії (особовий рахунок споживача, </w:t>
      </w:r>
      <w:r w:rsidRPr="00C221C9">
        <w:rPr>
          <w:sz w:val="24"/>
          <w:szCs w:val="24"/>
          <w:lang w:val="en-US" w:eastAsia="en-US"/>
        </w:rPr>
        <w:t>EIC</w:t>
      </w:r>
      <w:r w:rsidRPr="00C221C9">
        <w:rPr>
          <w:sz w:val="24"/>
          <w:szCs w:val="24"/>
        </w:rPr>
        <w:t>-код точки розподілу, назва та адреса споживача), та причину (підставу,</w:t>
      </w:r>
      <w:r w:rsidRPr="00C221C9">
        <w:rPr>
          <w:sz w:val="24"/>
          <w:szCs w:val="24"/>
          <w:shd w:val="clear" w:color="auto" w:fill="FFFFFF"/>
        </w:rPr>
        <w:t xml:space="preserve"> суму заборгованості за відповідним договором та період, за який ця заборгованість виникла</w:t>
      </w:r>
      <w:r w:rsidRPr="00C221C9">
        <w:rPr>
          <w:sz w:val="24"/>
          <w:szCs w:val="24"/>
        </w:rPr>
        <w:t>) припинення електроживлення об’єкту такого споживача електричної енергії, дату, з якої слід припинити електроживлення споживача.</w:t>
      </w:r>
    </w:p>
    <w:p w14:paraId="5487D6F1" w14:textId="77777777" w:rsidR="005A1AF4" w:rsidRPr="00C221C9" w:rsidRDefault="005A1AF4" w:rsidP="007B4939">
      <w:pPr>
        <w:spacing w:line="228" w:lineRule="auto"/>
        <w:ind w:firstLine="426"/>
        <w:jc w:val="both"/>
        <w:rPr>
          <w:rFonts w:ascii="Times New Roman" w:hAnsi="Times New Roman" w:cs="Times New Roman"/>
          <w:color w:val="auto"/>
        </w:rPr>
      </w:pPr>
      <w:r w:rsidRPr="00C221C9">
        <w:rPr>
          <w:rFonts w:ascii="Times New Roman" w:hAnsi="Times New Roman" w:cs="Times New Roman"/>
          <w:color w:val="auto"/>
        </w:rPr>
        <w:t>7. Звернення Постачальника про припинення електроживлення споживача (крім побутового  споживача) надається Постачальником Оператору системи не пізніше ніж за 1</w:t>
      </w:r>
      <w:r w:rsidRPr="00C221C9">
        <w:rPr>
          <w:rFonts w:ascii="Times New Roman" w:hAnsi="Times New Roman" w:cs="Times New Roman"/>
          <w:color w:val="auto"/>
          <w:lang w:val="ru-RU"/>
        </w:rPr>
        <w:t>1</w:t>
      </w:r>
      <w:r w:rsidRPr="00C221C9">
        <w:rPr>
          <w:rFonts w:ascii="Times New Roman" w:hAnsi="Times New Roman" w:cs="Times New Roman"/>
          <w:color w:val="auto"/>
        </w:rPr>
        <w:t xml:space="preserve"> робочих днів до запланованої дати припинення електроживлення споживача таким чином, щоб дата припинення електроживлення споживача не припадала на день, який є вихідним чи святковим днем.</w:t>
      </w:r>
    </w:p>
    <w:p w14:paraId="7A4DB097" w14:textId="77777777" w:rsidR="005A1AF4" w:rsidRPr="00C221C9" w:rsidRDefault="005A1AF4" w:rsidP="007B4939">
      <w:pPr>
        <w:pStyle w:val="ae"/>
        <w:spacing w:line="228" w:lineRule="auto"/>
        <w:ind w:firstLine="425"/>
        <w:jc w:val="both"/>
        <w:rPr>
          <w:rFonts w:ascii="Times New Roman" w:hAnsi="Times New Roman"/>
          <w:sz w:val="24"/>
          <w:szCs w:val="24"/>
          <w:lang w:eastAsia="uk-UA"/>
        </w:rPr>
      </w:pPr>
      <w:r w:rsidRPr="00C221C9">
        <w:rPr>
          <w:rFonts w:ascii="Times New Roman" w:hAnsi="Times New Roman"/>
          <w:sz w:val="24"/>
          <w:szCs w:val="24"/>
          <w:lang w:eastAsia="uk-UA"/>
        </w:rPr>
        <w:t>Сторони погодили, що у випадку, якщо звернення Постачальника надійшло пізніше терміну, встановленого абзацом 1 цього пункту, або вказана у зверненні дата припинення електроживлення споживача припадає на вихідний або святковий день, або на день, який передує вихідному чи святковому дню (у разі необхідності відключення побутового споживача), або звернення не містить всієї інформації, що передбачена п.6 Протоколу, таке звернення не розглядається Оператором системи, про що Оператор системи у цей же день повідомляє Постачальника. Постачальник вправі направити споживачу та Оператору системи нові звернення зі зміненою датою припинення електроживлення споживача.</w:t>
      </w:r>
    </w:p>
    <w:p w14:paraId="117C9748" w14:textId="77777777" w:rsidR="005A1AF4" w:rsidRPr="00C221C9" w:rsidRDefault="005A1AF4" w:rsidP="007B4939">
      <w:pPr>
        <w:tabs>
          <w:tab w:val="left" w:pos="1276"/>
        </w:tabs>
        <w:ind w:firstLine="426"/>
        <w:jc w:val="both"/>
        <w:rPr>
          <w:rFonts w:ascii="Times New Roman" w:hAnsi="Times New Roman"/>
          <w:color w:val="auto"/>
        </w:rPr>
      </w:pPr>
      <w:r w:rsidRPr="00C221C9">
        <w:rPr>
          <w:rFonts w:ascii="Times New Roman" w:hAnsi="Times New Roman"/>
          <w:color w:val="auto"/>
        </w:rPr>
        <w:t>8. При формуванні звернення на припинення електричної енергії споживачу, Постачальник зобов’язаний враховувати вимоги пунктів 11.5.19. та 11.5.20. Кодексу систем розподілу. В разі, якщо Оператор системи виявить недотримання відповідних вимог, він має право визначити іншу дату про що повідомляє Постачальника.  Виявлення не відповідності вимогам пунктів 11.5.19. та 11.5.20. Кодексу систем розподілу є правом, а не обов’язком Оператора системи.</w:t>
      </w:r>
    </w:p>
    <w:p w14:paraId="73C45389" w14:textId="77777777" w:rsidR="005A1AF4" w:rsidRPr="00C221C9" w:rsidRDefault="005A1AF4" w:rsidP="007B4939">
      <w:pPr>
        <w:pStyle w:val="2"/>
        <w:shd w:val="clear" w:color="auto" w:fill="auto"/>
        <w:tabs>
          <w:tab w:val="left" w:pos="709"/>
        </w:tabs>
        <w:spacing w:line="228" w:lineRule="auto"/>
        <w:ind w:firstLine="426"/>
        <w:rPr>
          <w:bCs/>
          <w:sz w:val="24"/>
          <w:szCs w:val="24"/>
        </w:rPr>
      </w:pPr>
      <w:r w:rsidRPr="00C221C9">
        <w:rPr>
          <w:sz w:val="24"/>
          <w:szCs w:val="24"/>
        </w:rPr>
        <w:t xml:space="preserve">9. Звернення, щодо обмеження та припинення електроживлення споживачів підписуються уповноваженою особою Постачальника. Уповноваженою особою, в розумінні даного пункту є працівник відповідного Постачальника, що має право здійснювати такі повноваження на підставі Статуту, довіреності чи посадової інструкції. </w:t>
      </w:r>
      <w:r w:rsidRPr="00C221C9">
        <w:rPr>
          <w:bCs/>
          <w:sz w:val="24"/>
          <w:szCs w:val="24"/>
        </w:rPr>
        <w:t>Документи, що підтверджують повноваження уповноважених осіб Постачальника надаються ним оператору системи, разом з зверненням, або в зверненні вказується, що такі документи надані раніше, з зазначенням назви документу та дати, коли надавались такі документи.</w:t>
      </w:r>
    </w:p>
    <w:p w14:paraId="4DC59951" w14:textId="77777777" w:rsidR="005A1AF4" w:rsidRPr="00C221C9" w:rsidRDefault="005A1AF4" w:rsidP="007B4939">
      <w:pPr>
        <w:pStyle w:val="2"/>
        <w:shd w:val="clear" w:color="auto" w:fill="auto"/>
        <w:tabs>
          <w:tab w:val="left" w:pos="709"/>
        </w:tabs>
        <w:spacing w:line="228" w:lineRule="auto"/>
        <w:ind w:firstLine="426"/>
        <w:rPr>
          <w:sz w:val="24"/>
          <w:szCs w:val="24"/>
        </w:rPr>
      </w:pPr>
      <w:r w:rsidRPr="00C221C9">
        <w:rPr>
          <w:bCs/>
        </w:rPr>
        <w:t xml:space="preserve">10. </w:t>
      </w:r>
      <w:r w:rsidRPr="00C221C9">
        <w:rPr>
          <w:sz w:val="24"/>
          <w:szCs w:val="24"/>
        </w:rPr>
        <w:t>Оператор системи не має права вимагати додатково від Постачальника обґрунтування (доказів) причини (підстави) припинення електроживлення, якщо вона відповідає випадкам, визначеним ПРРЕЕ. У випадках, якщо підстава не передбачена ПРРЕЕ, Оператор системи має право відхилити звернення Постачальника (відключення конкретного споживача з переліку в реєстрі), про що повідомляє Постачальника протягом 2 робочих днів з дати отримання звернення.</w:t>
      </w:r>
    </w:p>
    <w:p w14:paraId="30979DA8" w14:textId="77777777" w:rsidR="005A1AF4" w:rsidRPr="00C221C9" w:rsidRDefault="005A1AF4" w:rsidP="007B4939">
      <w:pPr>
        <w:pStyle w:val="2"/>
        <w:tabs>
          <w:tab w:val="left" w:pos="426"/>
        </w:tabs>
        <w:spacing w:line="228" w:lineRule="auto"/>
        <w:ind w:firstLine="709"/>
        <w:rPr>
          <w:sz w:val="24"/>
          <w:szCs w:val="24"/>
        </w:rPr>
      </w:pPr>
      <w:r w:rsidRPr="00C221C9">
        <w:rPr>
          <w:sz w:val="24"/>
          <w:szCs w:val="24"/>
        </w:rPr>
        <w:t xml:space="preserve">11. Оператор системи повідомляє Постачальника про  виконання робіт щодо припинення  </w:t>
      </w:r>
      <w:r w:rsidRPr="00C221C9">
        <w:rPr>
          <w:sz w:val="24"/>
          <w:szCs w:val="24"/>
        </w:rPr>
        <w:lastRenderedPageBreak/>
        <w:t>(обмеження) та відновлення електроживлення споживачів Постачальника на наступний робочий день після здійснення необхідних технічних заходів, або про відсутність технічної можливості здійснити заходи з припинення електроживлення споживача відповідно до звернення Постачальника. Повідомлення надається наручно або електронною поштою (документ підписаний ЕЦП або сканований документ у форматі .</w:t>
      </w:r>
      <w:r w:rsidRPr="00C221C9">
        <w:rPr>
          <w:sz w:val="24"/>
          <w:szCs w:val="24"/>
          <w:lang w:val="en-US"/>
        </w:rPr>
        <w:t>pdf</w:t>
      </w:r>
      <w:r w:rsidRPr="00C221C9">
        <w:rPr>
          <w:sz w:val="24"/>
          <w:szCs w:val="24"/>
        </w:rPr>
        <w:t xml:space="preserve">) за підписом уповноваженої особи </w:t>
      </w:r>
      <w:r w:rsidRPr="00C221C9">
        <w:t>Оператора системи</w:t>
      </w:r>
      <w:r w:rsidRPr="00C221C9">
        <w:rPr>
          <w:sz w:val="24"/>
          <w:szCs w:val="24"/>
        </w:rPr>
        <w:t xml:space="preserve"> згідно форми 2 до уповноважених осіб  Постачальника.</w:t>
      </w:r>
    </w:p>
    <w:p w14:paraId="4387F8B8" w14:textId="77777777" w:rsidR="005A1AF4" w:rsidRPr="00C221C9" w:rsidRDefault="005A1AF4" w:rsidP="007B4939">
      <w:pPr>
        <w:pStyle w:val="2"/>
        <w:tabs>
          <w:tab w:val="left" w:pos="426"/>
        </w:tabs>
        <w:spacing w:line="228" w:lineRule="auto"/>
        <w:ind w:firstLine="425"/>
        <w:rPr>
          <w:sz w:val="24"/>
          <w:szCs w:val="24"/>
        </w:rPr>
      </w:pPr>
      <w:bookmarkStart w:id="1" w:name="_Hlk48218145"/>
      <w:r w:rsidRPr="00C221C9">
        <w:rPr>
          <w:sz w:val="24"/>
          <w:szCs w:val="24"/>
        </w:rPr>
        <w:t>Електронна копія вказаного повідомлення (файл Microsoft Excel) повинна бути надіслана уповноваженою особою Оператора системи уповноваженій особі Постачальника електронною поштою.</w:t>
      </w:r>
    </w:p>
    <w:bookmarkEnd w:id="1"/>
    <w:p w14:paraId="525D77A5" w14:textId="77777777" w:rsidR="005A1AF4" w:rsidRPr="00C221C9" w:rsidRDefault="005A1AF4" w:rsidP="007B4939">
      <w:pPr>
        <w:pStyle w:val="2"/>
        <w:shd w:val="clear" w:color="auto" w:fill="auto"/>
        <w:tabs>
          <w:tab w:val="left" w:pos="709"/>
        </w:tabs>
        <w:spacing w:line="228" w:lineRule="auto"/>
        <w:ind w:left="20" w:right="23" w:firstLine="689"/>
        <w:rPr>
          <w:sz w:val="24"/>
          <w:szCs w:val="24"/>
        </w:rPr>
      </w:pPr>
      <w:r w:rsidRPr="00C221C9">
        <w:rPr>
          <w:sz w:val="24"/>
          <w:szCs w:val="24"/>
        </w:rPr>
        <w:t>12. Оператор системи повинен припинити електроживлення споживача в терміни, які зазначені у зверненні Постачальника.</w:t>
      </w:r>
    </w:p>
    <w:p w14:paraId="66C3D5BF" w14:textId="77777777" w:rsidR="005A1AF4" w:rsidRPr="00C221C9" w:rsidRDefault="005A1AF4" w:rsidP="007B4939">
      <w:pPr>
        <w:pStyle w:val="2"/>
        <w:shd w:val="clear" w:color="auto" w:fill="auto"/>
        <w:tabs>
          <w:tab w:val="left" w:pos="709"/>
        </w:tabs>
        <w:spacing w:line="228" w:lineRule="auto"/>
        <w:ind w:left="20" w:right="23"/>
        <w:rPr>
          <w:sz w:val="24"/>
          <w:szCs w:val="24"/>
        </w:rPr>
      </w:pPr>
      <w:r w:rsidRPr="00C221C9">
        <w:rPr>
          <w:sz w:val="24"/>
          <w:szCs w:val="24"/>
        </w:rPr>
        <w:tab/>
        <w:t xml:space="preserve">13. Оператор системи надсилає попередження про припинення електроживлення відповідному споживачу електричної енергії не пізніше ніж за 5 робочих днів до запланованої дати обмеження/припинення розподілу електричної енергії, з підстав, передбачених п.7.5 Правил роздрібного ринку електричної енергії. </w:t>
      </w:r>
    </w:p>
    <w:p w14:paraId="01EBF44E"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rPr>
        <w:t>Реєстр надісланих попереджень, згідно форми 7, не пізніше наступного робочого дня після надання споживачу попередження, Оператор системи наручно або електронною поштою надає в структурні підрозділи Постачальника. На вимогу Постачальнику може надаватися (надсилатися) копія підготовленого попередження.</w:t>
      </w:r>
    </w:p>
    <w:p w14:paraId="540807BC"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rPr>
        <w:t xml:space="preserve">14. У випадку надсилання попередження про припинення електроживлення споживача поштою рекомендованим листом дата припинення електроживлення споживача визначається Оператором системи з урахуванням затверджених нормативних строків пересилання поштових відправлень та вимог п. 7.5 Правил роздрібного ринку електричної енергії (датою отримання попередження вважається дата особистого вручення, або третій календарний день від дати отримання попередження поштовим відділенням зв'язку, в якому обслуговується споживач). </w:t>
      </w:r>
    </w:p>
    <w:p w14:paraId="531DA85D"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rPr>
        <w:t xml:space="preserve">15. Під час здійснення технічних заходів щодо припинення розподілу електричної енергії Оператор системи у присутності споживача здійснює фіксацію показів засобів обліку споживача на час припинення електроживлення споживача. </w:t>
      </w:r>
    </w:p>
    <w:p w14:paraId="33D0EC4D"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rPr>
        <w:t>У разі відсутності можливості зафіксувати покази засобів обліку при здійсненні відключення електроустановок споживача у зв’язку із недопуском до розрахункових засобів обліку, працівники Оператора системи повинні оформити відповідний акт про недопуск. В такому випадку дані розрахункового обліку на дату відключення електроживлення споживача визначаються Оператором системи розрахунковим шляхом за середньодобовим споживанням електричної енергії, згідно з вимогами Кодексу комерційного обліку електричної енергії.</w:t>
      </w:r>
    </w:p>
    <w:p w14:paraId="71060AC1"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rPr>
        <w:t>16. У разі ненадання споживачем безперешкодного регламентованого доступу уповноваженим представникам Оператора системи до власних електроустановок для проведення вибіркового відключення струмоприймачів з наступним пломбуванням пристроїв їх підключення, працівники Оператора системи повинні оформити відповідний акт про недопуск.</w:t>
      </w:r>
    </w:p>
    <w:p w14:paraId="0FD78494"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rPr>
        <w:t>17. Після надання реєстру або разом з наданням реєстру споживачів (за формою 2), яким припинено/відновлено постачання, Оператор системи направляє Постачальнику оформлений Акт приймання-передачі наданих послуг (за формою 3) у двох примірниках разом із рахунком для сплати послуг для подальшого оформлення з боку Постачальника. Один примірник оформленого акту Постачальник повертає Оператору системи протягом трьох робочих днів після  дати його отримання.</w:t>
      </w:r>
    </w:p>
    <w:p w14:paraId="5A05DBFC"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rPr>
        <w:t>18. У разі, якщо Оператором системи було виконано понад 10 заявок на припинення та відновлення постачання електроенергії в одному розрахунковому періоді, то Оператор системи формує та надає (надсилає) Постачальнику:</w:t>
      </w:r>
    </w:p>
    <w:p w14:paraId="2DD5318F" w14:textId="77777777" w:rsidR="005A1AF4" w:rsidRPr="00C221C9" w:rsidRDefault="005A1AF4" w:rsidP="007B4939">
      <w:pPr>
        <w:pStyle w:val="2"/>
        <w:numPr>
          <w:ilvl w:val="0"/>
          <w:numId w:val="2"/>
        </w:numPr>
        <w:shd w:val="clear" w:color="auto" w:fill="auto"/>
        <w:tabs>
          <w:tab w:val="left" w:pos="709"/>
        </w:tabs>
        <w:spacing w:line="228" w:lineRule="auto"/>
        <w:ind w:left="0" w:firstLine="425"/>
        <w:rPr>
          <w:sz w:val="24"/>
          <w:szCs w:val="24"/>
        </w:rPr>
      </w:pPr>
      <w:r w:rsidRPr="00C221C9">
        <w:rPr>
          <w:bCs/>
          <w:sz w:val="24"/>
          <w:szCs w:val="24"/>
        </w:rPr>
        <w:t>зведений рахунок на</w:t>
      </w:r>
      <w:r w:rsidRPr="00C221C9">
        <w:rPr>
          <w:sz w:val="24"/>
          <w:szCs w:val="24"/>
        </w:rPr>
        <w:t xml:space="preserve"> оплату послуг з виконання робіт стосовно припинення та відновлення постачання електричної енергії (далі - Рахунок); </w:t>
      </w:r>
    </w:p>
    <w:p w14:paraId="66DAFAB6" w14:textId="77777777" w:rsidR="005A1AF4" w:rsidRPr="00C221C9" w:rsidRDefault="005A1AF4" w:rsidP="007B4939">
      <w:pPr>
        <w:pStyle w:val="2"/>
        <w:numPr>
          <w:ilvl w:val="0"/>
          <w:numId w:val="2"/>
        </w:numPr>
        <w:shd w:val="clear" w:color="auto" w:fill="auto"/>
        <w:tabs>
          <w:tab w:val="left" w:pos="709"/>
        </w:tabs>
        <w:spacing w:line="228" w:lineRule="auto"/>
        <w:ind w:left="0" w:firstLine="425"/>
        <w:rPr>
          <w:sz w:val="24"/>
          <w:szCs w:val="24"/>
        </w:rPr>
      </w:pPr>
      <w:r w:rsidRPr="00C221C9">
        <w:rPr>
          <w:sz w:val="24"/>
          <w:szCs w:val="24"/>
        </w:rPr>
        <w:t>реєстр виконаних робіт щодо припинення/відновлення електроживлення споживачам за зверненням Постачальника в розрізі підрозділів сторін, які були замовниками та виконавцями цих робіт. У реєстрі зазначається перелік та вартість всіх робіт, які виконувалися Оператором системи на виконання звернень Постачальника щодо припинення та відновлення електроживлення споживачів</w:t>
      </w:r>
      <w:r w:rsidRPr="00ED04F6">
        <w:rPr>
          <w:sz w:val="24"/>
          <w:szCs w:val="24"/>
        </w:rPr>
        <w:t>(</w:t>
      </w:r>
      <w:r w:rsidRPr="00C221C9">
        <w:rPr>
          <w:sz w:val="24"/>
          <w:szCs w:val="24"/>
        </w:rPr>
        <w:t xml:space="preserve">виконання організаційних та технічних заходів з припинення та відновлення електроживлення споживачів, виконання додаткових робіт із забезпечення живлення об'єктів інших споживачів та субспоживачів за іншою схемою, тощо). Одночасно Постачальнику надсилається  електронна копія реєстру виконаних робіт щодо припинення/відновлення електроживлення споживачам за зверненням Постачальника (файл </w:t>
      </w:r>
      <w:r w:rsidRPr="00C221C9">
        <w:rPr>
          <w:sz w:val="24"/>
          <w:szCs w:val="24"/>
          <w:lang w:val="en-US"/>
        </w:rPr>
        <w:t>MicrosoftExcel</w:t>
      </w:r>
      <w:r w:rsidRPr="00C221C9">
        <w:rPr>
          <w:sz w:val="24"/>
          <w:szCs w:val="24"/>
        </w:rPr>
        <w:t>);</w:t>
      </w:r>
    </w:p>
    <w:p w14:paraId="79D1080F" w14:textId="77777777" w:rsidR="005A1AF4" w:rsidRPr="00C221C9" w:rsidRDefault="005A1AF4" w:rsidP="007B4939">
      <w:pPr>
        <w:pStyle w:val="2"/>
        <w:numPr>
          <w:ilvl w:val="0"/>
          <w:numId w:val="2"/>
        </w:numPr>
        <w:shd w:val="clear" w:color="auto" w:fill="auto"/>
        <w:tabs>
          <w:tab w:val="left" w:pos="709"/>
        </w:tabs>
        <w:spacing w:line="228" w:lineRule="auto"/>
        <w:ind w:left="0" w:firstLine="425"/>
        <w:rPr>
          <w:sz w:val="24"/>
          <w:szCs w:val="24"/>
        </w:rPr>
      </w:pPr>
      <w:r w:rsidRPr="00C221C9">
        <w:rPr>
          <w:bCs/>
          <w:sz w:val="24"/>
          <w:szCs w:val="24"/>
        </w:rPr>
        <w:t>Акт приймання - передачі наданих послуг</w:t>
      </w:r>
      <w:r w:rsidRPr="00C221C9">
        <w:rPr>
          <w:sz w:val="24"/>
          <w:szCs w:val="24"/>
        </w:rPr>
        <w:t>.</w:t>
      </w:r>
    </w:p>
    <w:p w14:paraId="632F0F86"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rPr>
        <w:t xml:space="preserve">19. Постачальник оплачує вартість послуг, протягом 7 банківських днів після отримання </w:t>
      </w:r>
      <w:r w:rsidRPr="00C221C9">
        <w:rPr>
          <w:sz w:val="24"/>
          <w:szCs w:val="24"/>
        </w:rPr>
        <w:lastRenderedPageBreak/>
        <w:t>відповідного рахунка. У разі наявності заборгованості Постачальника за надані послуги Оператором системи по припиненню постачання електроенергії споживачам, роботи  Оператором системи по припиненню електропостачання споживачам не виконуються, до дати повного погашення Постачальником боргу або врегулювання його, за згодою сторін, будь – яким іншим чином.</w:t>
      </w:r>
    </w:p>
    <w:p w14:paraId="1F736D0F"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rPr>
        <w:t xml:space="preserve"> 20. В день запланованого припинення електроживлення споживачу Постачальник не пізніше 10-00 год надсилає уточнене звернення згідно форми 4 щодо припинення (обмеження) електроживлення споживачів Постачальника наручно або електронною поштою в структурні підрозділи Постачальника згідно з пунктом 11 Протоколу.  </w:t>
      </w:r>
    </w:p>
    <w:p w14:paraId="2A2BA913" w14:textId="77777777" w:rsidR="005A1AF4" w:rsidRPr="00C221C9" w:rsidRDefault="005A1AF4" w:rsidP="007B4939">
      <w:pPr>
        <w:pStyle w:val="2"/>
        <w:shd w:val="clear" w:color="auto" w:fill="auto"/>
        <w:tabs>
          <w:tab w:val="left" w:pos="709"/>
        </w:tabs>
        <w:spacing w:line="228" w:lineRule="auto"/>
        <w:ind w:left="20" w:right="23" w:firstLine="547"/>
        <w:rPr>
          <w:sz w:val="24"/>
          <w:szCs w:val="24"/>
        </w:rPr>
      </w:pPr>
      <w:r w:rsidRPr="00C221C9">
        <w:rPr>
          <w:sz w:val="24"/>
          <w:szCs w:val="24"/>
        </w:rPr>
        <w:t>Якщо після надання уточненого звернення щодо припинення (обмеження) електроживлення споживачів Постачальника, відпала необхідність в припиненні/обмеженні постачання електричної енергії і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Постачальник зобов'язаний відшкодувати Оператору системи відповідні витрати на здійснення зазначених дій.</w:t>
      </w:r>
    </w:p>
    <w:p w14:paraId="68020276"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rPr>
        <w:t xml:space="preserve">21. Відповідно до вимог Правил роздрібного ринку електричної енергії, у разі відсутності технічної можливості виконання умови одночасного забезпечення збереження необхідних рівнів надійності і якості електропостачання інших споживачів та субспоживачів (унаслідок застосування відповідної схеми електропостачання) у випадку ненадання споживачем доступу до власних електроустановок уповноваженим представникам Оператора системи для вибіркового відключення струмоприймачів споживача, Оператор системи перед відключенням основного споживача повинен забезпечити живлення об'єктів інших споживачів та субспоживачів за іншою схемою. </w:t>
      </w:r>
    </w:p>
    <w:p w14:paraId="30254A6D" w14:textId="77777777" w:rsidR="005A1AF4" w:rsidRPr="00C221C9" w:rsidRDefault="005A1AF4" w:rsidP="007B4939">
      <w:pPr>
        <w:pStyle w:val="2"/>
        <w:shd w:val="clear" w:color="auto" w:fill="auto"/>
        <w:tabs>
          <w:tab w:val="left" w:pos="709"/>
        </w:tabs>
        <w:spacing w:line="228" w:lineRule="auto"/>
        <w:ind w:left="20" w:right="23" w:firstLine="831"/>
        <w:rPr>
          <w:sz w:val="24"/>
          <w:szCs w:val="24"/>
          <w:shd w:val="clear" w:color="auto" w:fill="FFFFFF"/>
        </w:rPr>
      </w:pPr>
      <w:r w:rsidRPr="00C221C9">
        <w:rPr>
          <w:sz w:val="24"/>
          <w:szCs w:val="24"/>
        </w:rPr>
        <w:t>22. Витрати Оператора системи на здійснення робіт, які пов’язані з припиненням та відновлення електроживлення електроустановки споживача покриваються за рахунок коштів Постачальника, як ініціатора таких робіт,</w:t>
      </w:r>
      <w:r w:rsidRPr="00C221C9">
        <w:rPr>
          <w:sz w:val="24"/>
          <w:szCs w:val="24"/>
          <w:shd w:val="clear" w:color="auto" w:fill="FFFFFF"/>
        </w:rPr>
        <w:t xml:space="preserve"> які відшкодовуються йому споживачем, якщо припинення постачання (розподілу або передачі) електричної енергії споживачу здійснювалося у встановленому Правилами роздрібного ринку електричної енергії  порядку.</w:t>
      </w:r>
    </w:p>
    <w:p w14:paraId="21A4FE1B"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bookmarkStart w:id="2" w:name="_Hlk48217716"/>
      <w:r w:rsidRPr="00C221C9">
        <w:rPr>
          <w:sz w:val="24"/>
          <w:szCs w:val="24"/>
          <w:shd w:val="clear" w:color="auto" w:fill="FFFFFF"/>
        </w:rPr>
        <w:t xml:space="preserve">23. </w:t>
      </w:r>
      <w:r w:rsidRPr="00C221C9">
        <w:rPr>
          <w:sz w:val="24"/>
          <w:szCs w:val="24"/>
        </w:rPr>
        <w:t xml:space="preserve">У разі необхідності відновлення постачання електроенергії споживача, після усунення ним порушень умов укладених договорів про постачання електричної енергії, останній направляє Оператору системи електронною поштою реєстр таких споживачів за формою 5, що додається, з дотриманням вимог, що зазначені в п. </w:t>
      </w:r>
      <w:r w:rsidRPr="00ED04F6">
        <w:rPr>
          <w:sz w:val="24"/>
          <w:szCs w:val="24"/>
        </w:rPr>
        <w:t>11</w:t>
      </w:r>
      <w:r w:rsidRPr="00C221C9">
        <w:rPr>
          <w:sz w:val="24"/>
          <w:szCs w:val="24"/>
        </w:rPr>
        <w:t xml:space="preserve"> даного Додатку. </w:t>
      </w:r>
    </w:p>
    <w:bookmarkEnd w:id="2"/>
    <w:p w14:paraId="51B528BA"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shd w:val="clear" w:color="auto" w:fill="FFFFFF"/>
        </w:rPr>
        <w:t>24.</w:t>
      </w:r>
      <w:r w:rsidRPr="00C221C9">
        <w:rPr>
          <w:sz w:val="24"/>
          <w:szCs w:val="24"/>
        </w:rPr>
        <w:t xml:space="preserve"> У разі отримання Оператором системи від Постачальника звернення, щодо обмеження/припинення  електроживлення  споживача, який одночасно має заборгованість перед Оператором системи (в тому числі, по боргам, по яким Оператор системи є правонаступником у відповідності до п. 13 розділу XVII Закону України «Про ринок електричної енергії») і перед Постачальником, Оператором системи має право у повідомленні про обмеження/припинення електроживлення Споживача, зазначити про наявну заборгованість перед Оператором системи і припинити електроживлення Споживача за заборгованість перед Оператором системи і Постачальником. Таке повідомлення Оператор системи надсилає одночасно Постачальнику та Споживачу.</w:t>
      </w:r>
    </w:p>
    <w:p w14:paraId="2DE83606"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shd w:val="clear" w:color="auto" w:fill="FFFFFF"/>
        </w:rPr>
        <w:t>25.</w:t>
      </w:r>
      <w:r w:rsidRPr="00C221C9">
        <w:rPr>
          <w:sz w:val="24"/>
          <w:szCs w:val="24"/>
        </w:rPr>
        <w:t xml:space="preserve"> У відповідності до п. 24 даного Додатку, витрати з обмеження/припинення електроживлення Споживача, діляться порівну між Постачальником та Оператором системи. </w:t>
      </w:r>
    </w:p>
    <w:p w14:paraId="406D3E79"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shd w:val="clear" w:color="auto" w:fill="FFFFFF"/>
        </w:rPr>
        <w:t>26.</w:t>
      </w:r>
      <w:r w:rsidRPr="00C221C9">
        <w:rPr>
          <w:sz w:val="24"/>
          <w:szCs w:val="24"/>
        </w:rPr>
        <w:t xml:space="preserve"> Відновлення електроживлення Споживача, після його обмеження/припинення, з підстав зазначених в п. 24 даного Додатку здійснюється після усунення всіх причин (підстав), внаслідок яких було обмежено/припинено електроживлення Споживача. У разі несплати заборгованості споживача перед Оператором системи, Оператор системи має право відхилити звернення Постачальника щодо відновлення електроживлення такого Споживача, до моменту врегулювання заборгованості перед Оператором системи. (При умові що він був попереджений за борг перед ОСР).</w:t>
      </w:r>
    </w:p>
    <w:p w14:paraId="3A028DEF"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shd w:val="clear" w:color="auto" w:fill="FFFFFF"/>
        </w:rPr>
        <w:t>27.</w:t>
      </w:r>
      <w:r w:rsidRPr="00C221C9">
        <w:rPr>
          <w:sz w:val="24"/>
          <w:szCs w:val="24"/>
        </w:rPr>
        <w:t xml:space="preserve"> Відновлення електроживлення Споживача, у разі наявності причин (підстав), визначених в п. 24, здійснюється за ініціативою Оператора системи або Постачальника лише за наявності підтвердження усунення виявлених порушень, оплати заборгованості за надані послуги та/або несанкціонований відбір електричної енергії, а також відшкодування витрат на обмеження/припинення електроживлення Споживача, що понесли Оператор системи, Постачальник та/або треті особи.</w:t>
      </w:r>
    </w:p>
    <w:p w14:paraId="0F0BEBD5"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shd w:val="clear" w:color="auto" w:fill="FFFFFF"/>
        </w:rPr>
        <w:t>28.</w:t>
      </w:r>
      <w:r w:rsidRPr="00C221C9">
        <w:rPr>
          <w:sz w:val="24"/>
          <w:szCs w:val="24"/>
        </w:rPr>
        <w:t xml:space="preserve"> Оператор системи, без окремого погодження з боку Постачальника, має право  на договірних засадах доручати виконання обмеження, припинення та відновлення  постачання електроенергії споживачу третім особам (в т.ч. КЖЕП, ОСББ та ін.) та для виконання цього, передавати  залученим третім особам необхідну інформацію/дані, сформовані на основі форм 1,4,5, наданих Постачальником Оператору системи. Відповідальність за дії третіх осіб, залучених Оператором системи до виконання обмеження, припинення та відновлення постачання електроенергії споживачу перед Постачальником, несе Оператор системи. </w:t>
      </w:r>
    </w:p>
    <w:p w14:paraId="57631455"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shd w:val="clear" w:color="auto" w:fill="FFFFFF"/>
        </w:rPr>
        <w:lastRenderedPageBreak/>
        <w:t>29.</w:t>
      </w:r>
      <w:r w:rsidRPr="00C221C9">
        <w:rPr>
          <w:sz w:val="24"/>
          <w:szCs w:val="24"/>
        </w:rPr>
        <w:t xml:space="preserve"> У випадку розірвання (припинення) договору про постачання між Постачальником та Споживачем, до моменту відновлення постачання електроенергії споживачу звернення щодо відновлення постачання електроенергії надає Споживач, за умови укладення ним договору про постачання з новим Постачальником, або новий Постачальник такого Споживача.</w:t>
      </w:r>
    </w:p>
    <w:p w14:paraId="0F0FE570"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shd w:val="clear" w:color="auto" w:fill="FFFFFF"/>
        </w:rPr>
        <w:t>30.</w:t>
      </w:r>
      <w:r w:rsidRPr="00C221C9">
        <w:rPr>
          <w:sz w:val="24"/>
          <w:szCs w:val="24"/>
        </w:rPr>
        <w:t xml:space="preserve"> Якщо дата обмеження, припинення та/або відновлення електроживлення не побутового Споживача, що зазначена у зверненні Постачальника припадає на вихідний та/або святковий день – таке звернення виконується в останній робочий день до вихідного та/або святкового дня.</w:t>
      </w:r>
    </w:p>
    <w:p w14:paraId="6FE1A405"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shd w:val="clear" w:color="auto" w:fill="FFFFFF"/>
        </w:rPr>
        <w:t xml:space="preserve">31. </w:t>
      </w:r>
      <w:r w:rsidRPr="00C221C9">
        <w:rPr>
          <w:sz w:val="24"/>
          <w:szCs w:val="24"/>
        </w:rPr>
        <w:t>Робочим часом Оператора системи  є час з 08:00 – 17:00 з понеділка по четверг, та з 08:00 – 15:45 в п’ятницю, окрім вихідних та святкових днів, визначених діючим законодавством України.</w:t>
      </w:r>
    </w:p>
    <w:p w14:paraId="3E5E45B5" w14:textId="77777777" w:rsidR="005A1AF4" w:rsidRPr="00C221C9" w:rsidRDefault="005A1AF4" w:rsidP="007B4939">
      <w:pPr>
        <w:pStyle w:val="2"/>
        <w:shd w:val="clear" w:color="auto" w:fill="auto"/>
        <w:tabs>
          <w:tab w:val="left" w:pos="709"/>
        </w:tabs>
        <w:spacing w:line="228" w:lineRule="auto"/>
        <w:ind w:left="20" w:right="23" w:firstLine="831"/>
        <w:rPr>
          <w:sz w:val="24"/>
          <w:szCs w:val="24"/>
        </w:rPr>
      </w:pPr>
      <w:r w:rsidRPr="00C221C9">
        <w:rPr>
          <w:sz w:val="24"/>
          <w:szCs w:val="24"/>
          <w:shd w:val="clear" w:color="auto" w:fill="FFFFFF"/>
        </w:rPr>
        <w:t xml:space="preserve">32. </w:t>
      </w:r>
      <w:r w:rsidRPr="00C221C9">
        <w:rPr>
          <w:sz w:val="24"/>
          <w:szCs w:val="24"/>
        </w:rPr>
        <w:t>Вимоги даного Протоколу є обов’язковими для Сторін та їх працівників при виконанні Сторонами договору Постачальника про надання послуг з розподілу електричної енергії.</w:t>
      </w:r>
    </w:p>
    <w:p w14:paraId="41A50E31" w14:textId="77777777" w:rsidR="005A1AF4" w:rsidRDefault="005A1AF4" w:rsidP="007B4939">
      <w:pPr>
        <w:pStyle w:val="2"/>
        <w:tabs>
          <w:tab w:val="left" w:pos="426"/>
        </w:tabs>
        <w:spacing w:line="228" w:lineRule="auto"/>
      </w:pPr>
    </w:p>
    <w:p w14:paraId="741E34AE" w14:textId="77777777" w:rsidR="005A1AF4" w:rsidRDefault="005A1AF4" w:rsidP="001D071C">
      <w:pPr>
        <w:tabs>
          <w:tab w:val="left" w:pos="1276"/>
        </w:tabs>
        <w:jc w:val="both"/>
        <w:rPr>
          <w:rFonts w:ascii="Times New Roman" w:hAnsi="Times New Roman"/>
        </w:rPr>
      </w:pPr>
    </w:p>
    <w:p w14:paraId="45D7F0F8" w14:textId="77777777" w:rsidR="001D071C" w:rsidRPr="00312EDE" w:rsidRDefault="001D071C" w:rsidP="001D071C">
      <w:pPr>
        <w:pStyle w:val="a5"/>
        <w:spacing w:before="0" w:beforeAutospacing="0" w:after="0" w:afterAutospacing="0"/>
        <w:jc w:val="both"/>
        <w:rPr>
          <w:lang w:val="uk-UA"/>
        </w:rPr>
      </w:pPr>
      <w:r w:rsidRPr="00312EDE">
        <w:rPr>
          <w:b/>
          <w:bCs/>
          <w:lang w:val="uk-UA"/>
        </w:rPr>
        <w:t>Оператор системи                                                           Постачальник</w:t>
      </w:r>
    </w:p>
    <w:p w14:paraId="08443A61" w14:textId="77777777" w:rsidR="001D071C" w:rsidRPr="00312EDE" w:rsidRDefault="001D071C" w:rsidP="001D071C">
      <w:pPr>
        <w:pStyle w:val="a5"/>
        <w:spacing w:before="0" w:beforeAutospacing="0" w:after="0" w:afterAutospacing="0"/>
        <w:jc w:val="both"/>
        <w:rPr>
          <w:lang w:val="uk-UA"/>
        </w:rPr>
      </w:pPr>
    </w:p>
    <w:p w14:paraId="3C805E60" w14:textId="77777777" w:rsidR="001D071C" w:rsidRPr="00312EDE" w:rsidRDefault="001D071C" w:rsidP="001D071C">
      <w:pPr>
        <w:pStyle w:val="a5"/>
        <w:spacing w:before="0" w:beforeAutospacing="0" w:after="0" w:afterAutospacing="0"/>
        <w:jc w:val="both"/>
        <w:rPr>
          <w:lang w:val="uk-UA"/>
        </w:rPr>
      </w:pPr>
    </w:p>
    <w:p w14:paraId="3C6CC1C1" w14:textId="77777777" w:rsidR="001D071C" w:rsidRPr="00312EDE" w:rsidRDefault="001D071C" w:rsidP="001D071C">
      <w:pPr>
        <w:tabs>
          <w:tab w:val="left" w:pos="1276"/>
        </w:tabs>
        <w:ind w:firstLine="709"/>
        <w:jc w:val="both"/>
        <w:rPr>
          <w:rFonts w:ascii="Times New Roman" w:hAnsi="Times New Roman"/>
        </w:rPr>
      </w:pPr>
    </w:p>
    <w:p w14:paraId="3351E1C1" w14:textId="77777777" w:rsidR="001D071C" w:rsidRPr="00312EDE" w:rsidRDefault="001D071C" w:rsidP="001D071C">
      <w:pPr>
        <w:spacing w:line="1" w:lineRule="exact"/>
      </w:pPr>
    </w:p>
    <w:bookmarkEnd w:id="0"/>
    <w:p w14:paraId="674E7E61" w14:textId="77777777" w:rsidR="001D071C" w:rsidRDefault="001D071C" w:rsidP="001D071C">
      <w:pPr>
        <w:tabs>
          <w:tab w:val="left" w:pos="1276"/>
        </w:tabs>
        <w:jc w:val="both"/>
        <w:rPr>
          <w:rFonts w:ascii="Times New Roman" w:hAnsi="Times New Roman"/>
        </w:rPr>
      </w:pPr>
    </w:p>
    <w:sectPr w:rsidR="001D071C" w:rsidSect="004D36C0">
      <w:headerReference w:type="even" r:id="rId7"/>
      <w:headerReference w:type="default" r:id="rId8"/>
      <w:footerReference w:type="even" r:id="rId9"/>
      <w:footerReference w:type="default" r:id="rId10"/>
      <w:headerReference w:type="first" r:id="rId11"/>
      <w:footerReference w:type="first" r:id="rId12"/>
      <w:pgSz w:w="11900" w:h="16840"/>
      <w:pgMar w:top="514" w:right="439" w:bottom="232" w:left="9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976C" w14:textId="77777777" w:rsidR="00106A1E" w:rsidRDefault="00106A1E">
      <w:r>
        <w:separator/>
      </w:r>
    </w:p>
  </w:endnote>
  <w:endnote w:type="continuationSeparator" w:id="0">
    <w:p w14:paraId="71F35FBD" w14:textId="77777777" w:rsidR="00106A1E" w:rsidRDefault="0010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71F9" w14:textId="77777777" w:rsidR="005A1AF4" w:rsidRDefault="005A1AF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E064" w14:textId="77777777" w:rsidR="005A1AF4" w:rsidRPr="00080023" w:rsidRDefault="005A1AF4">
    <w:pPr>
      <w:pStyle w:val="a8"/>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BD2C" w14:textId="77777777" w:rsidR="005A1AF4" w:rsidRDefault="005A1A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CEF9" w14:textId="77777777" w:rsidR="00106A1E" w:rsidRDefault="00106A1E"/>
  </w:footnote>
  <w:footnote w:type="continuationSeparator" w:id="0">
    <w:p w14:paraId="2C82CEB0" w14:textId="77777777" w:rsidR="00106A1E" w:rsidRDefault="00106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CD1" w14:textId="77777777" w:rsidR="005A1AF4" w:rsidRDefault="005A1AF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FC42" w14:textId="7B74C22E" w:rsidR="005A1AF4" w:rsidRDefault="00633192">
    <w:pPr>
      <w:pStyle w:val="a6"/>
    </w:pPr>
    <w:r>
      <w:rPr>
        <w:noProof/>
      </w:rPr>
      <w:drawing>
        <wp:inline distT="0" distB="0" distL="0" distR="0" wp14:anchorId="6B17BE6D" wp14:editId="73A426E3">
          <wp:extent cx="4076700" cy="624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0" cy="624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24A8" w14:textId="77777777" w:rsidR="005A1AF4" w:rsidRDefault="005A1AF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5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0521BBE"/>
    <w:multiLevelType w:val="hybridMultilevel"/>
    <w:tmpl w:val="EBC6C27C"/>
    <w:lvl w:ilvl="0" w:tplc="C360AB6C">
      <w:start w:val="15"/>
      <w:numFmt w:val="bullet"/>
      <w:lvlText w:val="-"/>
      <w:lvlJc w:val="left"/>
      <w:pPr>
        <w:ind w:left="380" w:hanging="360"/>
      </w:pPr>
      <w:rPr>
        <w:rFonts w:ascii="Times New Roman" w:eastAsia="Times New Roman" w:hAnsi="Times New Roman" w:hint="default"/>
      </w:rPr>
    </w:lvl>
    <w:lvl w:ilvl="1" w:tplc="04220003" w:tentative="1">
      <w:start w:val="1"/>
      <w:numFmt w:val="bullet"/>
      <w:lvlText w:val="o"/>
      <w:lvlJc w:val="left"/>
      <w:pPr>
        <w:ind w:left="1100" w:hanging="360"/>
      </w:pPr>
      <w:rPr>
        <w:rFonts w:ascii="Courier New" w:hAnsi="Courier New" w:hint="default"/>
      </w:rPr>
    </w:lvl>
    <w:lvl w:ilvl="2" w:tplc="04220005" w:tentative="1">
      <w:start w:val="1"/>
      <w:numFmt w:val="bullet"/>
      <w:lvlText w:val=""/>
      <w:lvlJc w:val="left"/>
      <w:pPr>
        <w:ind w:left="1820" w:hanging="360"/>
      </w:pPr>
      <w:rPr>
        <w:rFonts w:ascii="Wingdings" w:hAnsi="Wingdings" w:hint="default"/>
      </w:rPr>
    </w:lvl>
    <w:lvl w:ilvl="3" w:tplc="04220001" w:tentative="1">
      <w:start w:val="1"/>
      <w:numFmt w:val="bullet"/>
      <w:lvlText w:val=""/>
      <w:lvlJc w:val="left"/>
      <w:pPr>
        <w:ind w:left="2540" w:hanging="360"/>
      </w:pPr>
      <w:rPr>
        <w:rFonts w:ascii="Symbol" w:hAnsi="Symbol" w:hint="default"/>
      </w:rPr>
    </w:lvl>
    <w:lvl w:ilvl="4" w:tplc="04220003" w:tentative="1">
      <w:start w:val="1"/>
      <w:numFmt w:val="bullet"/>
      <w:lvlText w:val="o"/>
      <w:lvlJc w:val="left"/>
      <w:pPr>
        <w:ind w:left="3260" w:hanging="360"/>
      </w:pPr>
      <w:rPr>
        <w:rFonts w:ascii="Courier New" w:hAnsi="Courier New" w:hint="default"/>
      </w:rPr>
    </w:lvl>
    <w:lvl w:ilvl="5" w:tplc="04220005" w:tentative="1">
      <w:start w:val="1"/>
      <w:numFmt w:val="bullet"/>
      <w:lvlText w:val=""/>
      <w:lvlJc w:val="left"/>
      <w:pPr>
        <w:ind w:left="3980" w:hanging="360"/>
      </w:pPr>
      <w:rPr>
        <w:rFonts w:ascii="Wingdings" w:hAnsi="Wingdings" w:hint="default"/>
      </w:rPr>
    </w:lvl>
    <w:lvl w:ilvl="6" w:tplc="04220001" w:tentative="1">
      <w:start w:val="1"/>
      <w:numFmt w:val="bullet"/>
      <w:lvlText w:val=""/>
      <w:lvlJc w:val="left"/>
      <w:pPr>
        <w:ind w:left="4700" w:hanging="360"/>
      </w:pPr>
      <w:rPr>
        <w:rFonts w:ascii="Symbol" w:hAnsi="Symbol" w:hint="default"/>
      </w:rPr>
    </w:lvl>
    <w:lvl w:ilvl="7" w:tplc="04220003" w:tentative="1">
      <w:start w:val="1"/>
      <w:numFmt w:val="bullet"/>
      <w:lvlText w:val="o"/>
      <w:lvlJc w:val="left"/>
      <w:pPr>
        <w:ind w:left="5420" w:hanging="360"/>
      </w:pPr>
      <w:rPr>
        <w:rFonts w:ascii="Courier New" w:hAnsi="Courier New" w:hint="default"/>
      </w:rPr>
    </w:lvl>
    <w:lvl w:ilvl="8" w:tplc="04220005" w:tentative="1">
      <w:start w:val="1"/>
      <w:numFmt w:val="bullet"/>
      <w:lvlText w:val=""/>
      <w:lvlJc w:val="left"/>
      <w:pPr>
        <w:ind w:left="61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AA"/>
    <w:rsid w:val="00080023"/>
    <w:rsid w:val="000B1C39"/>
    <w:rsid w:val="000B353E"/>
    <w:rsid w:val="000B6EE5"/>
    <w:rsid w:val="000F3F62"/>
    <w:rsid w:val="00106A1E"/>
    <w:rsid w:val="001C17B3"/>
    <w:rsid w:val="001D00EE"/>
    <w:rsid w:val="001D071C"/>
    <w:rsid w:val="00205AC9"/>
    <w:rsid w:val="002917A6"/>
    <w:rsid w:val="002A4936"/>
    <w:rsid w:val="002A60A9"/>
    <w:rsid w:val="002B445C"/>
    <w:rsid w:val="002E43DB"/>
    <w:rsid w:val="00307D10"/>
    <w:rsid w:val="00311497"/>
    <w:rsid w:val="003609A0"/>
    <w:rsid w:val="003759AA"/>
    <w:rsid w:val="00380648"/>
    <w:rsid w:val="003B59A4"/>
    <w:rsid w:val="003D23F7"/>
    <w:rsid w:val="003F54E1"/>
    <w:rsid w:val="003F7426"/>
    <w:rsid w:val="00403CAA"/>
    <w:rsid w:val="00410DA4"/>
    <w:rsid w:val="004557DF"/>
    <w:rsid w:val="00487056"/>
    <w:rsid w:val="004943CB"/>
    <w:rsid w:val="004D36C0"/>
    <w:rsid w:val="004D5293"/>
    <w:rsid w:val="004E0506"/>
    <w:rsid w:val="005367B0"/>
    <w:rsid w:val="0054472E"/>
    <w:rsid w:val="00557594"/>
    <w:rsid w:val="00575B95"/>
    <w:rsid w:val="00583EFA"/>
    <w:rsid w:val="005A1AF4"/>
    <w:rsid w:val="005A392F"/>
    <w:rsid w:val="005B057D"/>
    <w:rsid w:val="005B1E3B"/>
    <w:rsid w:val="005B20D7"/>
    <w:rsid w:val="005B4E61"/>
    <w:rsid w:val="005E4C4B"/>
    <w:rsid w:val="006274DE"/>
    <w:rsid w:val="00633192"/>
    <w:rsid w:val="00634DD5"/>
    <w:rsid w:val="00664A28"/>
    <w:rsid w:val="006B0747"/>
    <w:rsid w:val="006D6196"/>
    <w:rsid w:val="006E2724"/>
    <w:rsid w:val="006E3930"/>
    <w:rsid w:val="006F03F4"/>
    <w:rsid w:val="006F6842"/>
    <w:rsid w:val="007025D3"/>
    <w:rsid w:val="007463A7"/>
    <w:rsid w:val="00773825"/>
    <w:rsid w:val="007A09FC"/>
    <w:rsid w:val="007B4939"/>
    <w:rsid w:val="007D656E"/>
    <w:rsid w:val="00823BAE"/>
    <w:rsid w:val="00874B7B"/>
    <w:rsid w:val="00894604"/>
    <w:rsid w:val="008A1B09"/>
    <w:rsid w:val="008C301E"/>
    <w:rsid w:val="008D14D4"/>
    <w:rsid w:val="008E47E5"/>
    <w:rsid w:val="008F15CD"/>
    <w:rsid w:val="009161D1"/>
    <w:rsid w:val="00986381"/>
    <w:rsid w:val="009C5A0E"/>
    <w:rsid w:val="009C61F2"/>
    <w:rsid w:val="009D179B"/>
    <w:rsid w:val="00A1145C"/>
    <w:rsid w:val="00A365B2"/>
    <w:rsid w:val="00AB0232"/>
    <w:rsid w:val="00AB48AF"/>
    <w:rsid w:val="00B171F1"/>
    <w:rsid w:val="00B17CE9"/>
    <w:rsid w:val="00B56EDD"/>
    <w:rsid w:val="00B91CA7"/>
    <w:rsid w:val="00BA5846"/>
    <w:rsid w:val="00BE05A3"/>
    <w:rsid w:val="00C221C9"/>
    <w:rsid w:val="00C41A07"/>
    <w:rsid w:val="00C60081"/>
    <w:rsid w:val="00CB6ED1"/>
    <w:rsid w:val="00CD2CF6"/>
    <w:rsid w:val="00CE0837"/>
    <w:rsid w:val="00CF5045"/>
    <w:rsid w:val="00D75254"/>
    <w:rsid w:val="00D80B25"/>
    <w:rsid w:val="00DC4BC7"/>
    <w:rsid w:val="00DD7F3B"/>
    <w:rsid w:val="00E1359A"/>
    <w:rsid w:val="00E31BC9"/>
    <w:rsid w:val="00E8322F"/>
    <w:rsid w:val="00E90150"/>
    <w:rsid w:val="00E95E72"/>
    <w:rsid w:val="00EC436C"/>
    <w:rsid w:val="00ED04F6"/>
    <w:rsid w:val="00EE7A4B"/>
    <w:rsid w:val="00F25650"/>
    <w:rsid w:val="00FC1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0A6AC"/>
  <w15:docId w15:val="{93137B82-0367-4C90-A5C8-27132C47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EDD"/>
    <w:pPr>
      <w:widowControl w:val="0"/>
    </w:pPr>
    <w:rPr>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 Знак"/>
    <w:link w:val="a4"/>
    <w:uiPriority w:val="99"/>
    <w:locked/>
    <w:rsid w:val="00B56EDD"/>
    <w:rPr>
      <w:rFonts w:ascii="Times New Roman" w:hAnsi="Times New Roman"/>
      <w:u w:val="none"/>
      <w:shd w:val="clear" w:color="auto" w:fill="auto"/>
    </w:rPr>
  </w:style>
  <w:style w:type="character" w:customStyle="1" w:styleId="Bodytext2">
    <w:name w:val="Body text (2)_"/>
    <w:link w:val="Bodytext20"/>
    <w:uiPriority w:val="99"/>
    <w:locked/>
    <w:rsid w:val="00B56EDD"/>
    <w:rPr>
      <w:rFonts w:ascii="Cambria" w:hAnsi="Cambria"/>
      <w:b/>
      <w:sz w:val="26"/>
      <w:u w:val="none"/>
      <w:shd w:val="clear" w:color="auto" w:fill="auto"/>
    </w:rPr>
  </w:style>
  <w:style w:type="character" w:customStyle="1" w:styleId="Tablecaption">
    <w:name w:val="Table caption_"/>
    <w:link w:val="Tablecaption0"/>
    <w:uiPriority w:val="99"/>
    <w:locked/>
    <w:rsid w:val="00B56EDD"/>
    <w:rPr>
      <w:rFonts w:ascii="Times New Roman" w:hAnsi="Times New Roman"/>
      <w:i/>
      <w:sz w:val="16"/>
      <w:u w:val="none"/>
      <w:shd w:val="clear" w:color="auto" w:fill="auto"/>
    </w:rPr>
  </w:style>
  <w:style w:type="character" w:customStyle="1" w:styleId="Other">
    <w:name w:val="Other_"/>
    <w:link w:val="Other0"/>
    <w:uiPriority w:val="99"/>
    <w:locked/>
    <w:rsid w:val="00B56EDD"/>
    <w:rPr>
      <w:rFonts w:ascii="Times New Roman" w:hAnsi="Times New Roman"/>
      <w:u w:val="none"/>
      <w:shd w:val="clear" w:color="auto" w:fill="auto"/>
    </w:rPr>
  </w:style>
  <w:style w:type="character" w:customStyle="1" w:styleId="Bodytext3">
    <w:name w:val="Body text (3)_"/>
    <w:link w:val="Bodytext30"/>
    <w:uiPriority w:val="99"/>
    <w:locked/>
    <w:rsid w:val="00B56EDD"/>
    <w:rPr>
      <w:rFonts w:ascii="Times New Roman" w:hAnsi="Times New Roman"/>
      <w:i/>
      <w:sz w:val="16"/>
      <w:u w:val="none"/>
      <w:shd w:val="clear" w:color="auto" w:fill="auto"/>
    </w:rPr>
  </w:style>
  <w:style w:type="paragraph" w:styleId="a4">
    <w:name w:val="Body Text"/>
    <w:basedOn w:val="a"/>
    <w:link w:val="a3"/>
    <w:uiPriority w:val="99"/>
    <w:rsid w:val="00B56EDD"/>
    <w:pPr>
      <w:spacing w:after="100"/>
      <w:ind w:firstLine="280"/>
    </w:pPr>
    <w:rPr>
      <w:rFonts w:ascii="Times New Roman" w:hAnsi="Times New Roman" w:cs="Times New Roman"/>
      <w:color w:val="auto"/>
      <w:sz w:val="20"/>
      <w:szCs w:val="20"/>
      <w:lang w:val="ru-RU" w:eastAsia="ru-RU"/>
    </w:rPr>
  </w:style>
  <w:style w:type="character" w:customStyle="1" w:styleId="BodyTextChar1">
    <w:name w:val="Body Text Char1"/>
    <w:uiPriority w:val="99"/>
    <w:semiHidden/>
    <w:rsid w:val="00CB6ED1"/>
    <w:rPr>
      <w:rFonts w:cs="Times New Roman"/>
      <w:color w:val="000000"/>
      <w:sz w:val="24"/>
      <w:lang w:val="uk-UA" w:eastAsia="uk-UA"/>
    </w:rPr>
  </w:style>
  <w:style w:type="paragraph" w:customStyle="1" w:styleId="Bodytext20">
    <w:name w:val="Body text (2)"/>
    <w:basedOn w:val="a"/>
    <w:link w:val="Bodytext2"/>
    <w:uiPriority w:val="99"/>
    <w:rsid w:val="00B56EDD"/>
    <w:pPr>
      <w:spacing w:after="280"/>
      <w:jc w:val="center"/>
    </w:pPr>
    <w:rPr>
      <w:rFonts w:ascii="Cambria" w:hAnsi="Cambria" w:cs="Times New Roman"/>
      <w:b/>
      <w:color w:val="auto"/>
      <w:sz w:val="26"/>
      <w:szCs w:val="20"/>
      <w:lang w:val="ru-RU" w:eastAsia="ru-RU"/>
    </w:rPr>
  </w:style>
  <w:style w:type="paragraph" w:customStyle="1" w:styleId="Tablecaption0">
    <w:name w:val="Table caption"/>
    <w:basedOn w:val="a"/>
    <w:link w:val="Tablecaption"/>
    <w:uiPriority w:val="99"/>
    <w:rsid w:val="00B56EDD"/>
    <w:pPr>
      <w:spacing w:line="223" w:lineRule="auto"/>
    </w:pPr>
    <w:rPr>
      <w:rFonts w:ascii="Times New Roman" w:hAnsi="Times New Roman" w:cs="Times New Roman"/>
      <w:i/>
      <w:color w:val="auto"/>
      <w:sz w:val="16"/>
      <w:szCs w:val="20"/>
      <w:lang w:val="ru-RU" w:eastAsia="ru-RU"/>
    </w:rPr>
  </w:style>
  <w:style w:type="paragraph" w:customStyle="1" w:styleId="Other0">
    <w:name w:val="Other"/>
    <w:basedOn w:val="a"/>
    <w:link w:val="Other"/>
    <w:uiPriority w:val="99"/>
    <w:rsid w:val="00B56EDD"/>
    <w:pPr>
      <w:spacing w:after="100"/>
      <w:ind w:firstLine="280"/>
    </w:pPr>
    <w:rPr>
      <w:rFonts w:ascii="Times New Roman" w:hAnsi="Times New Roman" w:cs="Times New Roman"/>
      <w:color w:val="auto"/>
      <w:sz w:val="20"/>
      <w:szCs w:val="20"/>
      <w:lang w:val="ru-RU" w:eastAsia="ru-RU"/>
    </w:rPr>
  </w:style>
  <w:style w:type="paragraph" w:customStyle="1" w:styleId="Bodytext30">
    <w:name w:val="Body text (3)"/>
    <w:basedOn w:val="a"/>
    <w:link w:val="Bodytext3"/>
    <w:uiPriority w:val="99"/>
    <w:rsid w:val="00B56EDD"/>
    <w:rPr>
      <w:rFonts w:ascii="Times New Roman" w:hAnsi="Times New Roman" w:cs="Times New Roman"/>
      <w:i/>
      <w:color w:val="auto"/>
      <w:sz w:val="16"/>
      <w:szCs w:val="20"/>
      <w:lang w:val="ru-RU" w:eastAsia="ru-RU"/>
    </w:rPr>
  </w:style>
  <w:style w:type="paragraph" w:styleId="a5">
    <w:name w:val="Normal (Web)"/>
    <w:basedOn w:val="a"/>
    <w:uiPriority w:val="99"/>
    <w:rsid w:val="001C17B3"/>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6">
    <w:name w:val="header"/>
    <w:basedOn w:val="a"/>
    <w:link w:val="a7"/>
    <w:uiPriority w:val="99"/>
    <w:rsid w:val="00AB48AF"/>
    <w:pPr>
      <w:tabs>
        <w:tab w:val="center" w:pos="4677"/>
        <w:tab w:val="right" w:pos="9355"/>
      </w:tabs>
    </w:pPr>
    <w:rPr>
      <w:rFonts w:cs="Times New Roman"/>
      <w:sz w:val="20"/>
      <w:szCs w:val="20"/>
    </w:rPr>
  </w:style>
  <w:style w:type="character" w:customStyle="1" w:styleId="a7">
    <w:name w:val="Верхній колонтитул Знак"/>
    <w:link w:val="a6"/>
    <w:uiPriority w:val="99"/>
    <w:locked/>
    <w:rsid w:val="00AB48AF"/>
    <w:rPr>
      <w:rFonts w:cs="Times New Roman"/>
      <w:color w:val="000000"/>
    </w:rPr>
  </w:style>
  <w:style w:type="paragraph" w:styleId="a8">
    <w:name w:val="footer"/>
    <w:basedOn w:val="a"/>
    <w:link w:val="a9"/>
    <w:uiPriority w:val="99"/>
    <w:rsid w:val="00AB48AF"/>
    <w:pPr>
      <w:tabs>
        <w:tab w:val="center" w:pos="4677"/>
        <w:tab w:val="right" w:pos="9355"/>
      </w:tabs>
    </w:pPr>
    <w:rPr>
      <w:rFonts w:cs="Times New Roman"/>
      <w:sz w:val="20"/>
      <w:szCs w:val="20"/>
    </w:rPr>
  </w:style>
  <w:style w:type="character" w:customStyle="1" w:styleId="a9">
    <w:name w:val="Нижній колонтитул Знак"/>
    <w:link w:val="a8"/>
    <w:uiPriority w:val="99"/>
    <w:locked/>
    <w:rsid w:val="00AB48AF"/>
    <w:rPr>
      <w:rFonts w:cs="Times New Roman"/>
      <w:color w:val="000000"/>
    </w:rPr>
  </w:style>
  <w:style w:type="character" w:styleId="aa">
    <w:name w:val="Hyperlink"/>
    <w:uiPriority w:val="99"/>
    <w:semiHidden/>
    <w:rsid w:val="004D36C0"/>
    <w:rPr>
      <w:rFonts w:cs="Times New Roman"/>
      <w:color w:val="0000FF"/>
      <w:u w:val="single"/>
    </w:rPr>
  </w:style>
  <w:style w:type="paragraph" w:styleId="ab">
    <w:name w:val="List Paragraph"/>
    <w:basedOn w:val="a"/>
    <w:uiPriority w:val="99"/>
    <w:qFormat/>
    <w:rsid w:val="004D36C0"/>
    <w:pPr>
      <w:widowControl/>
      <w:spacing w:after="200" w:line="276" w:lineRule="auto"/>
      <w:ind w:left="720"/>
    </w:pPr>
    <w:rPr>
      <w:rFonts w:ascii="Calibri" w:hAnsi="Calibri" w:cs="Times New Roman"/>
      <w:color w:val="auto"/>
      <w:sz w:val="22"/>
      <w:szCs w:val="22"/>
      <w:lang w:eastAsia="en-US"/>
    </w:rPr>
  </w:style>
  <w:style w:type="paragraph" w:customStyle="1" w:styleId="Default">
    <w:name w:val="Default"/>
    <w:uiPriority w:val="99"/>
    <w:rsid w:val="004D36C0"/>
    <w:pPr>
      <w:autoSpaceDE w:val="0"/>
      <w:autoSpaceDN w:val="0"/>
      <w:adjustRightInd w:val="0"/>
    </w:pPr>
    <w:rPr>
      <w:rFonts w:cs="Times New Roman"/>
      <w:color w:val="000000"/>
      <w:sz w:val="24"/>
      <w:szCs w:val="24"/>
      <w:lang w:val="ru-RU"/>
    </w:rPr>
  </w:style>
  <w:style w:type="table" w:styleId="ac">
    <w:name w:val="Table Grid"/>
    <w:basedOn w:val="a1"/>
    <w:uiPriority w:val="99"/>
    <w:rsid w:val="002E43D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сновной текст_"/>
    <w:link w:val="2"/>
    <w:uiPriority w:val="99"/>
    <w:locked/>
    <w:rsid w:val="00C41A07"/>
    <w:rPr>
      <w:rFonts w:ascii="Times New Roman" w:hAnsi="Times New Roman"/>
      <w:sz w:val="22"/>
      <w:shd w:val="clear" w:color="auto" w:fill="FFFFFF"/>
    </w:rPr>
  </w:style>
  <w:style w:type="paragraph" w:customStyle="1" w:styleId="2">
    <w:name w:val="Основной текст2"/>
    <w:basedOn w:val="a"/>
    <w:link w:val="ad"/>
    <w:uiPriority w:val="99"/>
    <w:rsid w:val="00C41A07"/>
    <w:pPr>
      <w:shd w:val="clear" w:color="auto" w:fill="FFFFFF"/>
      <w:spacing w:line="274" w:lineRule="exact"/>
      <w:jc w:val="both"/>
    </w:pPr>
    <w:rPr>
      <w:rFonts w:ascii="Times New Roman" w:hAnsi="Times New Roman" w:cs="Times New Roman"/>
      <w:color w:val="auto"/>
      <w:sz w:val="22"/>
      <w:szCs w:val="20"/>
      <w:lang w:val="ru-RU" w:eastAsia="ru-RU"/>
    </w:rPr>
  </w:style>
  <w:style w:type="paragraph" w:styleId="ae">
    <w:name w:val="Plain Text"/>
    <w:basedOn w:val="a"/>
    <w:link w:val="af"/>
    <w:uiPriority w:val="99"/>
    <w:semiHidden/>
    <w:rsid w:val="00C41A07"/>
    <w:pPr>
      <w:widowControl/>
    </w:pPr>
    <w:rPr>
      <w:rFonts w:ascii="Consolas" w:eastAsia="Times New Roman" w:hAnsi="Consolas" w:cs="Times New Roman"/>
      <w:color w:val="auto"/>
      <w:sz w:val="21"/>
      <w:szCs w:val="21"/>
      <w:lang w:eastAsia="en-US"/>
    </w:rPr>
  </w:style>
  <w:style w:type="character" w:customStyle="1" w:styleId="af">
    <w:name w:val="Текст Знак"/>
    <w:link w:val="ae"/>
    <w:uiPriority w:val="99"/>
    <w:semiHidden/>
    <w:locked/>
    <w:rsid w:val="00C41A07"/>
    <w:rPr>
      <w:rFonts w:ascii="Consolas" w:hAnsi="Consolas" w:cs="Times New Roman"/>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6431">
      <w:marLeft w:val="0"/>
      <w:marRight w:val="0"/>
      <w:marTop w:val="0"/>
      <w:marBottom w:val="0"/>
      <w:divBdr>
        <w:top w:val="none" w:sz="0" w:space="0" w:color="auto"/>
        <w:left w:val="none" w:sz="0" w:space="0" w:color="auto"/>
        <w:bottom w:val="none" w:sz="0" w:space="0" w:color="auto"/>
        <w:right w:val="none" w:sz="0" w:space="0" w:color="auto"/>
      </w:divBdr>
    </w:div>
    <w:div w:id="1595896432">
      <w:marLeft w:val="0"/>
      <w:marRight w:val="0"/>
      <w:marTop w:val="0"/>
      <w:marBottom w:val="0"/>
      <w:divBdr>
        <w:top w:val="none" w:sz="0" w:space="0" w:color="auto"/>
        <w:left w:val="none" w:sz="0" w:space="0" w:color="auto"/>
        <w:bottom w:val="none" w:sz="0" w:space="0" w:color="auto"/>
        <w:right w:val="none" w:sz="0" w:space="0" w:color="auto"/>
      </w:divBdr>
    </w:div>
    <w:div w:id="1595896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9634</Words>
  <Characters>5492</Characters>
  <Application>Microsoft Office Word</Application>
  <DocSecurity>0</DocSecurity>
  <Lines>45</Lines>
  <Paragraphs>30</Paragraphs>
  <ScaleCrop>false</ScaleCrop>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Оплата за фактом</dc:title>
  <dc:subject/>
  <dc:creator>PM</dc:creator>
  <cp:keywords/>
  <dc:description/>
  <cp:lastModifiedBy>Короп Любов Миколаївна</cp:lastModifiedBy>
  <cp:revision>2</cp:revision>
  <dcterms:created xsi:type="dcterms:W3CDTF">2021-07-15T06:03:00Z</dcterms:created>
  <dcterms:modified xsi:type="dcterms:W3CDTF">2021-07-15T06:03:00Z</dcterms:modified>
</cp:coreProperties>
</file>