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ED8F2" w14:textId="3D9EC9C8" w:rsidR="00C515AA" w:rsidRPr="00F64490" w:rsidRDefault="00C515AA" w:rsidP="00F6449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B0F0"/>
          <w:sz w:val="36"/>
          <w:szCs w:val="36"/>
          <w:lang w:eastAsia="uk-UA"/>
        </w:rPr>
      </w:pPr>
      <w:r w:rsidRPr="00F64490">
        <w:rPr>
          <w:rFonts w:eastAsia="Times New Roman" w:cstheme="minorHAnsi"/>
          <w:b/>
          <w:bCs/>
          <w:color w:val="00B0F0"/>
          <w:sz w:val="36"/>
          <w:szCs w:val="36"/>
          <w:lang w:eastAsia="uk-UA"/>
        </w:rPr>
        <w:t>м.</w:t>
      </w:r>
      <w:r w:rsidR="00F64490" w:rsidRPr="00F64490">
        <w:rPr>
          <w:rFonts w:eastAsia="Times New Roman" w:cstheme="minorHAnsi"/>
          <w:b/>
          <w:bCs/>
          <w:color w:val="00B0F0"/>
          <w:sz w:val="36"/>
          <w:szCs w:val="36"/>
          <w:lang w:eastAsia="uk-UA"/>
        </w:rPr>
        <w:t xml:space="preserve"> </w:t>
      </w:r>
      <w:r w:rsidRPr="00F64490">
        <w:rPr>
          <w:rFonts w:eastAsia="Times New Roman" w:cstheme="minorHAnsi"/>
          <w:b/>
          <w:bCs/>
          <w:color w:val="00B0F0"/>
          <w:sz w:val="36"/>
          <w:szCs w:val="36"/>
          <w:lang w:eastAsia="uk-UA"/>
        </w:rPr>
        <w:t>Нов</w:t>
      </w:r>
      <w:r w:rsidR="00E76CB9">
        <w:rPr>
          <w:rFonts w:eastAsia="Times New Roman" w:cstheme="minorHAnsi"/>
          <w:b/>
          <w:bCs/>
          <w:color w:val="00B0F0"/>
          <w:sz w:val="36"/>
          <w:szCs w:val="36"/>
          <w:lang w:eastAsia="uk-UA"/>
        </w:rPr>
        <w:t>ояворівськ</w:t>
      </w:r>
    </w:p>
    <w:p w14:paraId="2AF6A0ED" w14:textId="4E484729" w:rsidR="00C515AA" w:rsidRPr="00F64490" w:rsidRDefault="00C515AA" w:rsidP="00F6449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B0F0"/>
          <w:sz w:val="36"/>
          <w:szCs w:val="36"/>
          <w:lang w:eastAsia="uk-UA"/>
        </w:rPr>
      </w:pPr>
      <w:r w:rsidRPr="00F64490">
        <w:rPr>
          <w:rFonts w:eastAsia="Times New Roman" w:cstheme="minorHAnsi"/>
          <w:b/>
          <w:bCs/>
          <w:color w:val="00B0F0"/>
          <w:sz w:val="36"/>
          <w:szCs w:val="36"/>
          <w:lang w:eastAsia="uk-UA"/>
        </w:rPr>
        <w:t>Інформаційне повідомлення</w:t>
      </w:r>
    </w:p>
    <w:p w14:paraId="594DD517" w14:textId="377BFF1C" w:rsidR="00C515AA" w:rsidRPr="00C515AA" w:rsidRDefault="00C515AA" w:rsidP="00C515A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01820"/>
          <w:sz w:val="24"/>
          <w:szCs w:val="24"/>
          <w:lang w:eastAsia="uk-UA"/>
        </w:rPr>
      </w:pPr>
      <w:r w:rsidRPr="00C515AA">
        <w:rPr>
          <w:rFonts w:eastAsia="Times New Roman" w:cstheme="minorHAnsi"/>
          <w:b/>
          <w:bCs/>
          <w:color w:val="101820"/>
          <w:sz w:val="24"/>
          <w:szCs w:val="24"/>
          <w:lang w:eastAsia="uk-UA"/>
        </w:rPr>
        <w:t>про намір встановлення вузлів комерційного обліку </w:t>
      </w:r>
    </w:p>
    <w:p w14:paraId="19F4BA9C" w14:textId="0601C95F" w:rsidR="00C515AA" w:rsidRPr="00781A34" w:rsidRDefault="00C515AA" w:rsidP="00C515AA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101820"/>
          <w:sz w:val="24"/>
          <w:szCs w:val="24"/>
          <w:lang w:eastAsia="uk-UA"/>
        </w:rPr>
      </w:pPr>
      <w:r w:rsidRPr="00C515AA">
        <w:rPr>
          <w:rFonts w:eastAsia="Times New Roman" w:cstheme="minorHAnsi"/>
          <w:color w:val="101820"/>
          <w:sz w:val="24"/>
          <w:szCs w:val="24"/>
          <w:lang w:eastAsia="uk-UA"/>
        </w:rPr>
        <w:t>ТОВ «</w:t>
      </w:r>
      <w:r w:rsidRPr="00781A34">
        <w:rPr>
          <w:rFonts w:eastAsia="Times New Roman" w:cstheme="minorHAnsi"/>
          <w:color w:val="101820"/>
          <w:sz w:val="24"/>
          <w:szCs w:val="24"/>
          <w:lang w:eastAsia="uk-UA"/>
        </w:rPr>
        <w:t xml:space="preserve">Нафтогаз Тепло», </w:t>
      </w:r>
      <w:r w:rsidR="00426CAD" w:rsidRPr="00781A34">
        <w:rPr>
          <w:rFonts w:eastAsia="Times New Roman" w:cstheme="minorHAnsi"/>
          <w:color w:val="101820"/>
          <w:sz w:val="24"/>
          <w:szCs w:val="24"/>
          <w:lang w:eastAsia="uk-UA"/>
        </w:rPr>
        <w:t xml:space="preserve">має </w:t>
      </w:r>
      <w:r w:rsidRPr="00781A34">
        <w:rPr>
          <w:rFonts w:eastAsia="Times New Roman" w:cstheme="minorHAnsi"/>
          <w:color w:val="101820"/>
          <w:sz w:val="24"/>
          <w:szCs w:val="24"/>
          <w:lang w:eastAsia="uk-UA"/>
        </w:rPr>
        <w:t>намір встано</w:t>
      </w:r>
      <w:r w:rsidR="00426CAD" w:rsidRPr="00781A34">
        <w:rPr>
          <w:rFonts w:eastAsia="Times New Roman" w:cstheme="minorHAnsi"/>
          <w:color w:val="101820"/>
          <w:sz w:val="24"/>
          <w:szCs w:val="24"/>
          <w:lang w:eastAsia="uk-UA"/>
        </w:rPr>
        <w:t>вити</w:t>
      </w:r>
      <w:r w:rsidRPr="00781A34">
        <w:rPr>
          <w:rFonts w:eastAsia="Times New Roman" w:cstheme="minorHAnsi"/>
          <w:color w:val="101820"/>
          <w:sz w:val="24"/>
          <w:szCs w:val="24"/>
          <w:lang w:eastAsia="uk-UA"/>
        </w:rPr>
        <w:t xml:space="preserve"> вузл</w:t>
      </w:r>
      <w:r w:rsidR="00426CAD" w:rsidRPr="00781A34">
        <w:rPr>
          <w:rFonts w:eastAsia="Times New Roman" w:cstheme="minorHAnsi"/>
          <w:color w:val="101820"/>
          <w:sz w:val="24"/>
          <w:szCs w:val="24"/>
          <w:lang w:eastAsia="uk-UA"/>
        </w:rPr>
        <w:t>и</w:t>
      </w:r>
      <w:r w:rsidRPr="00781A34">
        <w:rPr>
          <w:rFonts w:eastAsia="Times New Roman" w:cstheme="minorHAnsi"/>
          <w:color w:val="101820"/>
          <w:sz w:val="24"/>
          <w:szCs w:val="24"/>
          <w:lang w:eastAsia="uk-UA"/>
        </w:rPr>
        <w:t xml:space="preserve"> комерційного обліку теплової енергії у </w:t>
      </w:r>
      <w:r w:rsidRPr="00781A34">
        <w:rPr>
          <w:rFonts w:eastAsia="Times New Roman" w:cstheme="minorHAnsi"/>
          <w:b/>
          <w:bCs/>
          <w:color w:val="101820"/>
          <w:sz w:val="24"/>
          <w:szCs w:val="24"/>
          <w:lang w:eastAsia="uk-UA"/>
        </w:rPr>
        <w:t>м. Нов</w:t>
      </w:r>
      <w:r w:rsidR="00E76CB9">
        <w:rPr>
          <w:rFonts w:eastAsia="Times New Roman" w:cstheme="minorHAnsi"/>
          <w:b/>
          <w:bCs/>
          <w:color w:val="101820"/>
          <w:sz w:val="24"/>
          <w:szCs w:val="24"/>
          <w:lang w:eastAsia="uk-UA"/>
        </w:rPr>
        <w:t>ояворівськ</w:t>
      </w:r>
      <w:r w:rsidRPr="00781A34">
        <w:rPr>
          <w:rFonts w:eastAsia="Times New Roman" w:cstheme="minorHAnsi"/>
          <w:b/>
          <w:bCs/>
          <w:color w:val="101820"/>
          <w:sz w:val="24"/>
          <w:szCs w:val="24"/>
          <w:lang w:eastAsia="uk-UA"/>
        </w:rPr>
        <w:t xml:space="preserve"> </w:t>
      </w:r>
      <w:r w:rsidRPr="00781A34">
        <w:rPr>
          <w:rFonts w:eastAsia="Times New Roman" w:cstheme="minorHAnsi"/>
          <w:color w:val="101820"/>
          <w:sz w:val="24"/>
          <w:szCs w:val="24"/>
          <w:lang w:eastAsia="uk-UA"/>
        </w:rPr>
        <w:t>за наступними адресами:</w:t>
      </w:r>
    </w:p>
    <w:p w14:paraId="66DA8BE5" w14:textId="77777777" w:rsidR="00334209" w:rsidRPr="00781A34" w:rsidRDefault="00334209" w:rsidP="00C515AA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101820"/>
          <w:sz w:val="24"/>
          <w:szCs w:val="24"/>
          <w:lang w:eastAsia="uk-UA"/>
        </w:rPr>
      </w:pPr>
    </w:p>
    <w:tbl>
      <w:tblPr>
        <w:tblW w:w="135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406"/>
        <w:gridCol w:w="338"/>
        <w:gridCol w:w="3524"/>
        <w:gridCol w:w="2111"/>
        <w:gridCol w:w="1349"/>
        <w:gridCol w:w="1371"/>
      </w:tblGrid>
      <w:tr w:rsidR="00CA4630" w:rsidRPr="00781A34" w14:paraId="1EF5E312" w14:textId="77777777" w:rsidTr="00CA4630">
        <w:trPr>
          <w:trHeight w:val="341"/>
        </w:trPr>
        <w:tc>
          <w:tcPr>
            <w:tcW w:w="415" w:type="dxa"/>
            <w:shd w:val="clear" w:color="auto" w:fill="auto"/>
            <w:noWrap/>
          </w:tcPr>
          <w:p w14:paraId="160BA631" w14:textId="58ADB4F4" w:rsidR="00CA4630" w:rsidRPr="00781A34" w:rsidRDefault="00CA4630" w:rsidP="00A45BC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406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7F35754" w14:textId="1048CE30" w:rsidR="00CA4630" w:rsidRPr="00781A34" w:rsidRDefault="00CA4630" w:rsidP="00CA4630">
            <w:pPr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ascii="Calibri" w:hAnsi="Calibri" w:cs="Calibri"/>
                <w:color w:val="000000"/>
              </w:rPr>
              <w:t>вул. Івана Франка, 6</w:t>
            </w:r>
          </w:p>
        </w:tc>
        <w:tc>
          <w:tcPr>
            <w:tcW w:w="282" w:type="dxa"/>
            <w:tcBorders>
              <w:right w:val="single" w:sz="4" w:space="0" w:color="auto"/>
            </w:tcBorders>
          </w:tcPr>
          <w:p w14:paraId="6C5FDBEF" w14:textId="7DF046D5" w:rsidR="00CA4630" w:rsidRPr="00781A34" w:rsidRDefault="00CA4630" w:rsidP="00A45BC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5D53272" w14:textId="3E3CAF52" w:rsidR="00CA4630" w:rsidRPr="00781A34" w:rsidRDefault="00CA4630" w:rsidP="00CA4630">
            <w:pPr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ascii="Calibri" w:hAnsi="Calibri" w:cs="Calibri"/>
                <w:color w:val="000000"/>
              </w:rPr>
              <w:t>вул. Львівська, 17 (2-й ввід)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6A0DD4" w14:textId="2BEF4921" w:rsidR="00CA4630" w:rsidRPr="00781A34" w:rsidRDefault="00CA4630" w:rsidP="00A45BC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58A14F76" w14:textId="628289F6" w:rsidR="00CA4630" w:rsidRPr="00781A34" w:rsidRDefault="00CA4630" w:rsidP="00A45BC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3F724CB7" w14:textId="6B3EC7C4" w:rsidR="00CA4630" w:rsidRPr="00781A34" w:rsidRDefault="00CA4630" w:rsidP="00A45BC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  <w:tr w:rsidR="00CA4630" w:rsidRPr="00781A34" w14:paraId="11AF1795" w14:textId="77777777" w:rsidTr="00CA4630">
        <w:trPr>
          <w:trHeight w:val="305"/>
        </w:trPr>
        <w:tc>
          <w:tcPr>
            <w:tcW w:w="415" w:type="dxa"/>
            <w:shd w:val="clear" w:color="auto" w:fill="auto"/>
            <w:noWrap/>
          </w:tcPr>
          <w:p w14:paraId="5A14F42B" w14:textId="7EDF2522" w:rsidR="00CA4630" w:rsidRPr="00781A34" w:rsidRDefault="00CA4630" w:rsidP="00A45BC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406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0E7EC29" w14:textId="6FBB2EA7" w:rsidR="00CA4630" w:rsidRPr="00781A34" w:rsidRDefault="00CA4630" w:rsidP="00CA4630">
            <w:pPr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ascii="Calibri" w:hAnsi="Calibri" w:cs="Calibri"/>
                <w:color w:val="000000"/>
              </w:rPr>
              <w:t>вул. Степана Бандери, 7</w:t>
            </w:r>
          </w:p>
        </w:tc>
        <w:tc>
          <w:tcPr>
            <w:tcW w:w="282" w:type="dxa"/>
            <w:tcBorders>
              <w:right w:val="single" w:sz="4" w:space="0" w:color="auto"/>
            </w:tcBorders>
          </w:tcPr>
          <w:p w14:paraId="7B68A238" w14:textId="05DA5E28" w:rsidR="00CA4630" w:rsidRPr="00781A34" w:rsidRDefault="00CA4630" w:rsidP="00A45BC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CA0CCAA" w14:textId="391EB940" w:rsidR="00CA4630" w:rsidRPr="00781A34" w:rsidRDefault="00CA4630" w:rsidP="00CA4630">
            <w:pPr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ascii="Calibri" w:hAnsi="Calibri" w:cs="Calibri"/>
                <w:color w:val="000000"/>
              </w:rPr>
              <w:t>вул. Львівська, 15 (4-й ввід)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5BD93C" w14:textId="2EFD0B21" w:rsidR="00CA4630" w:rsidRPr="00781A34" w:rsidRDefault="00CA4630" w:rsidP="00A45BC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3AA97B7C" w14:textId="4CBFC59D" w:rsidR="00CA4630" w:rsidRPr="00781A34" w:rsidRDefault="00CA4630" w:rsidP="00A45BC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12F30FBA" w14:textId="44F3819A" w:rsidR="00CA4630" w:rsidRPr="00781A34" w:rsidRDefault="00CA4630" w:rsidP="00A45BC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  <w:tr w:rsidR="00CA4630" w:rsidRPr="00781A34" w14:paraId="2C97B74A" w14:textId="77777777" w:rsidTr="00CA4630">
        <w:trPr>
          <w:trHeight w:val="306"/>
        </w:trPr>
        <w:tc>
          <w:tcPr>
            <w:tcW w:w="415" w:type="dxa"/>
            <w:shd w:val="clear" w:color="auto" w:fill="auto"/>
            <w:noWrap/>
            <w:vAlign w:val="center"/>
          </w:tcPr>
          <w:p w14:paraId="05286DC6" w14:textId="51A07865" w:rsidR="00CA4630" w:rsidRPr="00781A34" w:rsidRDefault="00CA4630" w:rsidP="00A45BC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406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B07F2B5" w14:textId="18D7B5B8" w:rsidR="00CA4630" w:rsidRPr="00781A34" w:rsidRDefault="00CA4630" w:rsidP="00CA4630">
            <w:pPr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ascii="Calibri" w:hAnsi="Calibri" w:cs="Calibri"/>
                <w:color w:val="000000"/>
              </w:rPr>
              <w:t>вул. Львівська, 13</w:t>
            </w:r>
          </w:p>
        </w:tc>
        <w:tc>
          <w:tcPr>
            <w:tcW w:w="282" w:type="dxa"/>
            <w:tcBorders>
              <w:right w:val="single" w:sz="4" w:space="0" w:color="auto"/>
            </w:tcBorders>
          </w:tcPr>
          <w:p w14:paraId="2354DD9A" w14:textId="255AD2EA" w:rsidR="00CA4630" w:rsidRPr="00781A34" w:rsidRDefault="00CA4630" w:rsidP="00A45BC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BBB73B0" w14:textId="6AB5ABA2" w:rsidR="00CA4630" w:rsidRPr="00781A34" w:rsidRDefault="00CA4630" w:rsidP="00CA4630">
            <w:pPr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ascii="Calibri" w:hAnsi="Calibri" w:cs="Calibri"/>
                <w:color w:val="000000"/>
              </w:rPr>
              <w:t>вул. Львівська, 23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70947" w14:textId="7FD86584" w:rsidR="00CA4630" w:rsidRPr="00781A34" w:rsidRDefault="00CA4630" w:rsidP="00A45BC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722BEEFD" w14:textId="311D9F3C" w:rsidR="00CA4630" w:rsidRPr="00781A34" w:rsidRDefault="00CA4630" w:rsidP="00A45BC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1A7C460A" w14:textId="740CFB9D" w:rsidR="00CA4630" w:rsidRPr="00781A34" w:rsidRDefault="00CA4630" w:rsidP="00A45BC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  <w:tr w:rsidR="00CA4630" w:rsidRPr="00781A34" w14:paraId="0D12B1B4" w14:textId="77777777" w:rsidTr="00CA4630">
        <w:trPr>
          <w:trHeight w:val="306"/>
        </w:trPr>
        <w:tc>
          <w:tcPr>
            <w:tcW w:w="415" w:type="dxa"/>
            <w:shd w:val="clear" w:color="auto" w:fill="auto"/>
            <w:noWrap/>
          </w:tcPr>
          <w:p w14:paraId="535F5A90" w14:textId="14379C07" w:rsidR="00CA4630" w:rsidRPr="00781A34" w:rsidRDefault="00CA4630" w:rsidP="00A45BC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406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C22277F" w14:textId="6A0A3524" w:rsidR="00CA4630" w:rsidRPr="00781A34" w:rsidRDefault="00CA4630" w:rsidP="00CA4630">
            <w:pPr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ascii="Calibri" w:hAnsi="Calibri" w:cs="Calibri"/>
                <w:color w:val="000000"/>
              </w:rPr>
              <w:t>вул. Львівська, 17 (1-й ввід)</w:t>
            </w:r>
          </w:p>
        </w:tc>
        <w:tc>
          <w:tcPr>
            <w:tcW w:w="282" w:type="dxa"/>
            <w:tcBorders>
              <w:right w:val="single" w:sz="4" w:space="0" w:color="auto"/>
            </w:tcBorders>
          </w:tcPr>
          <w:p w14:paraId="134A990A" w14:textId="285A1F32" w:rsidR="00CA4630" w:rsidRPr="00781A34" w:rsidRDefault="00CA4630" w:rsidP="00A45BC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F42C301" w14:textId="56864875" w:rsidR="00CA4630" w:rsidRPr="00781A34" w:rsidRDefault="00CA4630" w:rsidP="00CA4630">
            <w:pPr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ascii="Calibri" w:hAnsi="Calibri" w:cs="Calibri"/>
                <w:color w:val="000000"/>
              </w:rPr>
              <w:t>вул. Львівська, 19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51FD2B" w14:textId="5151EECB" w:rsidR="00CA4630" w:rsidRPr="00781A34" w:rsidRDefault="00CA4630" w:rsidP="00A45BC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056A1FC9" w14:textId="3FC5AF56" w:rsidR="00CA4630" w:rsidRPr="00781A34" w:rsidRDefault="00CA4630" w:rsidP="00A45BC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5352083B" w14:textId="58729B89" w:rsidR="00CA4630" w:rsidRPr="00781A34" w:rsidRDefault="00CA4630" w:rsidP="00A45BC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</w:tbl>
    <w:p w14:paraId="1BCF44F1" w14:textId="77777777" w:rsidR="00E76CB9" w:rsidRPr="00E76CB9" w:rsidRDefault="00E76CB9" w:rsidP="00E436A9">
      <w:pPr>
        <w:pStyle w:val="a3"/>
        <w:spacing w:before="0" w:beforeAutospacing="0" w:after="15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/>
          <w:sz w:val="8"/>
          <w:szCs w:val="8"/>
        </w:rPr>
      </w:pPr>
    </w:p>
    <w:p w14:paraId="69EE5FFB" w14:textId="793C5D2B" w:rsidR="009106E7" w:rsidRPr="00781A34" w:rsidRDefault="009106E7" w:rsidP="00E436A9">
      <w:pPr>
        <w:pStyle w:val="a3"/>
        <w:spacing w:before="0" w:beforeAutospacing="0" w:after="15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81A34">
        <w:rPr>
          <w:rFonts w:asciiTheme="minorHAnsi" w:hAnsiTheme="minorHAnsi" w:cstheme="minorHAnsi"/>
          <w:color w:val="000000"/>
        </w:rPr>
        <w:t>Відповідно до наказу</w:t>
      </w:r>
      <w:r w:rsidR="00E436A9" w:rsidRPr="00781A34">
        <w:rPr>
          <w:rFonts w:asciiTheme="minorHAnsi" w:hAnsiTheme="minorHAnsi" w:cstheme="minorHAnsi"/>
          <w:color w:val="000000"/>
        </w:rPr>
        <w:t xml:space="preserve"> «Про затвердження Порядку оснащення будівель вузлами комерційного обліку та обладнання інженерних систем забезпечення такого обліку» </w:t>
      </w:r>
      <w:r w:rsidR="00E436A9" w:rsidRPr="00781A34">
        <w:rPr>
          <w:rFonts w:asciiTheme="minorHAnsi" w:hAnsiTheme="minorHAnsi" w:cstheme="minorHAnsi"/>
          <w:color w:val="000000"/>
        </w:rPr>
        <w:br/>
      </w:r>
      <w:r w:rsidRPr="00781A34">
        <w:rPr>
          <w:rFonts w:asciiTheme="minorHAnsi" w:hAnsiTheme="minorHAnsi" w:cstheme="minorHAnsi"/>
          <w:color w:val="000000"/>
        </w:rPr>
        <w:t>від 09.08.2018 № 206, затвердженого Міністерством регіонального розвитку</w:t>
      </w:r>
      <w:r w:rsidR="00E436A9" w:rsidRPr="00781A34">
        <w:rPr>
          <w:rFonts w:asciiTheme="minorHAnsi" w:hAnsiTheme="minorHAnsi" w:cstheme="minorHAnsi"/>
          <w:color w:val="000000"/>
        </w:rPr>
        <w:t xml:space="preserve"> громад та територій України</w:t>
      </w:r>
      <w:r w:rsidRPr="00781A34">
        <w:rPr>
          <w:rFonts w:asciiTheme="minorHAnsi" w:hAnsiTheme="minorHAnsi" w:cstheme="minorHAnsi"/>
          <w:color w:val="000000"/>
        </w:rPr>
        <w:t>, власник (співвласники) будівлі, з дня отримання повідомлення про таке оснащення, протягом двох місяців має право повідомити оператору зовнішніх інженерних мереж (за своїм вибором) рішення про:</w:t>
      </w:r>
    </w:p>
    <w:p w14:paraId="78E5131F" w14:textId="77777777" w:rsidR="009106E7" w:rsidRPr="00781A34" w:rsidRDefault="009106E7" w:rsidP="00E436A9">
      <w:pPr>
        <w:pStyle w:val="a3"/>
        <w:spacing w:before="0" w:beforeAutospacing="0" w:after="15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81A34">
        <w:rPr>
          <w:rFonts w:asciiTheme="minorHAnsi" w:hAnsiTheme="minorHAnsi" w:cstheme="minorHAnsi"/>
          <w:color w:val="000000"/>
        </w:rPr>
        <w:t>– згоду на встановлення вузла комерційного обліку на запропонованих оператором зовнішніх інженерних мереж умовах;</w:t>
      </w:r>
    </w:p>
    <w:p w14:paraId="071B7E88" w14:textId="77777777" w:rsidR="009106E7" w:rsidRPr="00781A34" w:rsidRDefault="009106E7" w:rsidP="00E436A9">
      <w:pPr>
        <w:pStyle w:val="a3"/>
        <w:spacing w:before="0" w:beforeAutospacing="0" w:after="15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81A34">
        <w:rPr>
          <w:rFonts w:asciiTheme="minorHAnsi" w:hAnsiTheme="minorHAnsi" w:cstheme="minorHAnsi"/>
          <w:color w:val="000000"/>
        </w:rPr>
        <w:t>– намір погодити з оператором зовнішніх інженерних мереж відмінні від запропонованих умови встановлення вузла комерційного обліку;</w:t>
      </w:r>
    </w:p>
    <w:p w14:paraId="44D1DB08" w14:textId="77777777" w:rsidR="009106E7" w:rsidRPr="00781A34" w:rsidRDefault="009106E7" w:rsidP="00E76CB9">
      <w:pPr>
        <w:pStyle w:val="a3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81A34">
        <w:rPr>
          <w:rFonts w:asciiTheme="minorHAnsi" w:hAnsiTheme="minorHAnsi" w:cstheme="minorHAnsi"/>
          <w:color w:val="000000"/>
        </w:rPr>
        <w:t>– намір самостійно обладнати будівлю вузлами комерційного обліку в установленому законодавством порядку.</w:t>
      </w:r>
    </w:p>
    <w:p w14:paraId="41CCA184" w14:textId="26255617" w:rsidR="009106E7" w:rsidRPr="00781A34" w:rsidRDefault="009106E7" w:rsidP="00E76CB9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81A34">
        <w:rPr>
          <w:rFonts w:asciiTheme="minorHAnsi" w:hAnsiTheme="minorHAnsi" w:cstheme="minorHAnsi"/>
          <w:color w:val="000000"/>
        </w:rPr>
        <w:t xml:space="preserve">Згідно з п. 10 наказу від 09.08.2018 № 206, затвердженого </w:t>
      </w:r>
      <w:r w:rsidR="00426CAD" w:rsidRPr="00781A34">
        <w:rPr>
          <w:rFonts w:asciiTheme="minorHAnsi" w:hAnsiTheme="minorHAnsi" w:cstheme="minorHAnsi"/>
          <w:color w:val="000000"/>
        </w:rPr>
        <w:t>Міністерством регіонального розвитку громад та територій України</w:t>
      </w:r>
      <w:r w:rsidRPr="00781A34">
        <w:rPr>
          <w:rFonts w:asciiTheme="minorHAnsi" w:hAnsiTheme="minorHAnsi" w:cstheme="minorHAnsi"/>
          <w:color w:val="000000"/>
        </w:rPr>
        <w:t>,  п. 3 ст. 3 Закону України “Про комерційний облік теплової енергії та водопостачання” у разі якщо протягом двох місяців з дня отримання повідомлення оператора зовнішніх інженерних мереж про намір встановити вузол комерційного обліку власник (співвласники) будівлі не повідомив(</w:t>
      </w:r>
      <w:proofErr w:type="spellStart"/>
      <w:r w:rsidRPr="00781A34">
        <w:rPr>
          <w:rFonts w:asciiTheme="minorHAnsi" w:hAnsiTheme="minorHAnsi" w:cstheme="minorHAnsi"/>
          <w:color w:val="000000"/>
        </w:rPr>
        <w:t>ли</w:t>
      </w:r>
      <w:proofErr w:type="spellEnd"/>
      <w:r w:rsidRPr="00781A34">
        <w:rPr>
          <w:rFonts w:asciiTheme="minorHAnsi" w:hAnsiTheme="minorHAnsi" w:cstheme="minorHAnsi"/>
          <w:color w:val="000000"/>
        </w:rPr>
        <w:t>) оператора зовнішніх інженерних мереж про намір погодити з ним відмінні від запропонованих умови встановлення вузла комерційного обліку або про намір самостійно обладнати будівлю вузлом комерційного обліку, а також у разі, якщо власник (співвласники) повідомив(</w:t>
      </w:r>
      <w:proofErr w:type="spellStart"/>
      <w:r w:rsidRPr="00781A34">
        <w:rPr>
          <w:rFonts w:asciiTheme="minorHAnsi" w:hAnsiTheme="minorHAnsi" w:cstheme="minorHAnsi"/>
          <w:color w:val="000000"/>
        </w:rPr>
        <w:t>ли</w:t>
      </w:r>
      <w:proofErr w:type="spellEnd"/>
      <w:r w:rsidRPr="00781A34">
        <w:rPr>
          <w:rFonts w:asciiTheme="minorHAnsi" w:hAnsiTheme="minorHAnsi" w:cstheme="minorHAnsi"/>
          <w:color w:val="000000"/>
        </w:rPr>
        <w:t>) про намір погодити відмінні від запропонованих умови встановлення вузла комерційного обліку або про намір самостійно обладнати будівлю вузлом комерційного обліку, але не зробив(</w:t>
      </w:r>
      <w:proofErr w:type="spellStart"/>
      <w:r w:rsidRPr="00781A34">
        <w:rPr>
          <w:rFonts w:asciiTheme="minorHAnsi" w:hAnsiTheme="minorHAnsi" w:cstheme="minorHAnsi"/>
          <w:color w:val="000000"/>
        </w:rPr>
        <w:t>ли</w:t>
      </w:r>
      <w:proofErr w:type="spellEnd"/>
      <w:r w:rsidRPr="00781A34">
        <w:rPr>
          <w:rFonts w:asciiTheme="minorHAnsi" w:hAnsiTheme="minorHAnsi" w:cstheme="minorHAnsi"/>
          <w:color w:val="000000"/>
        </w:rPr>
        <w:t>) цього протягом чотирьох місяців з дня отримання повідомлення оператора зовнішніх інженерних мереж про намір встановити вузол комерційного обліку, оснащення будівлі вузлом комерційного обліку здійснює оператор зовнішніх інженерних мереж.</w:t>
      </w:r>
    </w:p>
    <w:p w14:paraId="0DF03A16" w14:textId="432B3B43" w:rsidR="00C515AA" w:rsidRPr="00781A34" w:rsidRDefault="00C515AA" w:rsidP="00E76CB9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101820"/>
          <w:sz w:val="24"/>
          <w:szCs w:val="24"/>
          <w:lang w:eastAsia="uk-UA"/>
        </w:rPr>
      </w:pPr>
      <w:r w:rsidRPr="00781A34">
        <w:rPr>
          <w:rFonts w:eastAsia="Times New Roman" w:cstheme="minorHAnsi"/>
          <w:color w:val="101820"/>
          <w:sz w:val="24"/>
          <w:szCs w:val="24"/>
          <w:lang w:eastAsia="uk-UA"/>
        </w:rPr>
        <w:t>Відповідь на повідомлення щодо рішення співвласників багатоповерхового будинку, стосовно умов встановлення комерційного засобу обліку теплової енергії, оформленого відповідно до вимог Закону України «Про особливості здійснення права власності у багатоквартирному будинку», просимо надавати ТОВ «Нафтогаз Тепло» за реквізитами:</w:t>
      </w:r>
    </w:p>
    <w:p w14:paraId="79E6FAC5" w14:textId="77777777" w:rsidR="00426CAD" w:rsidRPr="00781A34" w:rsidRDefault="00426CAD" w:rsidP="00C515AA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101820"/>
          <w:sz w:val="24"/>
          <w:szCs w:val="24"/>
          <w:lang w:eastAsia="uk-UA"/>
        </w:rPr>
      </w:pPr>
    </w:p>
    <w:p w14:paraId="53F11A62" w14:textId="18D20EDA" w:rsidR="00C515AA" w:rsidRPr="00781A34" w:rsidRDefault="00CC6E7D" w:rsidP="00C515A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01820"/>
          <w:sz w:val="24"/>
          <w:szCs w:val="24"/>
          <w:lang w:eastAsia="uk-UA"/>
        </w:rPr>
      </w:pPr>
      <w:r>
        <w:rPr>
          <w:rFonts w:eastAsia="Times New Roman" w:cstheme="minorHAnsi"/>
          <w:color w:val="101820"/>
          <w:sz w:val="24"/>
          <w:szCs w:val="24"/>
          <w:lang w:eastAsia="uk-UA"/>
        </w:rPr>
        <w:t>в</w:t>
      </w:r>
      <w:r w:rsidR="00E76CB9">
        <w:rPr>
          <w:rFonts w:eastAsia="Times New Roman" w:cstheme="minorHAnsi"/>
          <w:color w:val="101820"/>
          <w:sz w:val="24"/>
          <w:szCs w:val="24"/>
          <w:lang w:eastAsia="uk-UA"/>
        </w:rPr>
        <w:t>улиця Степана Бандери, 8</w:t>
      </w:r>
      <w:r>
        <w:rPr>
          <w:rFonts w:eastAsia="Times New Roman" w:cstheme="minorHAnsi"/>
          <w:color w:val="101820"/>
          <w:sz w:val="24"/>
          <w:szCs w:val="24"/>
          <w:lang w:eastAsia="uk-UA"/>
        </w:rPr>
        <w:t>-А</w:t>
      </w:r>
      <w:r w:rsidR="00E76CB9">
        <w:rPr>
          <w:rFonts w:eastAsia="Times New Roman" w:cstheme="minorHAnsi"/>
          <w:color w:val="101820"/>
          <w:sz w:val="24"/>
          <w:szCs w:val="24"/>
          <w:lang w:eastAsia="uk-UA"/>
        </w:rPr>
        <w:t>,</w:t>
      </w:r>
      <w:r w:rsidR="00F64490" w:rsidRPr="00781A34">
        <w:rPr>
          <w:rFonts w:eastAsia="Times New Roman" w:cstheme="minorHAnsi"/>
          <w:color w:val="101820"/>
          <w:sz w:val="24"/>
          <w:szCs w:val="24"/>
          <w:lang w:eastAsia="uk-UA"/>
        </w:rPr>
        <w:t xml:space="preserve">  м. Нов</w:t>
      </w:r>
      <w:r w:rsidR="00E76CB9">
        <w:rPr>
          <w:rFonts w:eastAsia="Times New Roman" w:cstheme="minorHAnsi"/>
          <w:color w:val="101820"/>
          <w:sz w:val="24"/>
          <w:szCs w:val="24"/>
          <w:lang w:eastAsia="uk-UA"/>
        </w:rPr>
        <w:t>ояв</w:t>
      </w:r>
      <w:r>
        <w:rPr>
          <w:rFonts w:eastAsia="Times New Roman" w:cstheme="minorHAnsi"/>
          <w:color w:val="101820"/>
          <w:sz w:val="24"/>
          <w:szCs w:val="24"/>
          <w:lang w:eastAsia="uk-UA"/>
        </w:rPr>
        <w:t>о</w:t>
      </w:r>
      <w:r w:rsidR="00E76CB9">
        <w:rPr>
          <w:rFonts w:eastAsia="Times New Roman" w:cstheme="minorHAnsi"/>
          <w:color w:val="101820"/>
          <w:sz w:val="24"/>
          <w:szCs w:val="24"/>
          <w:lang w:eastAsia="uk-UA"/>
        </w:rPr>
        <w:t>рівськ</w:t>
      </w:r>
      <w:r w:rsidR="00F64490" w:rsidRPr="00781A34">
        <w:rPr>
          <w:rFonts w:eastAsia="Times New Roman" w:cstheme="minorHAnsi"/>
          <w:color w:val="101820"/>
          <w:sz w:val="24"/>
          <w:szCs w:val="24"/>
          <w:lang w:eastAsia="uk-UA"/>
        </w:rPr>
        <w:t xml:space="preserve">, Львівська обл., </w:t>
      </w:r>
      <w:r>
        <w:rPr>
          <w:rFonts w:eastAsia="Times New Roman" w:cstheme="minorHAnsi"/>
          <w:color w:val="101820"/>
          <w:sz w:val="24"/>
          <w:szCs w:val="24"/>
          <w:lang w:eastAsia="uk-UA"/>
        </w:rPr>
        <w:t>81054</w:t>
      </w:r>
    </w:p>
    <w:p w14:paraId="638E0AE0" w14:textId="121E2F74" w:rsidR="00C515AA" w:rsidRPr="00781A34" w:rsidRDefault="00C515AA" w:rsidP="00C515A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01820"/>
          <w:sz w:val="24"/>
          <w:szCs w:val="24"/>
          <w:lang w:eastAsia="uk-UA"/>
        </w:rPr>
      </w:pPr>
      <w:r w:rsidRPr="00781A34">
        <w:rPr>
          <w:rFonts w:eastAsia="Times New Roman" w:cstheme="minorHAnsi"/>
          <w:color w:val="101820"/>
          <w:sz w:val="24"/>
          <w:szCs w:val="24"/>
          <w:lang w:eastAsia="uk-UA"/>
        </w:rPr>
        <w:t>Телефони для звернень: (068) 975-66-1</w:t>
      </w:r>
      <w:r w:rsidR="00E76CB9">
        <w:rPr>
          <w:rFonts w:eastAsia="Times New Roman" w:cstheme="minorHAnsi"/>
          <w:color w:val="101820"/>
          <w:sz w:val="24"/>
          <w:szCs w:val="24"/>
          <w:lang w:eastAsia="uk-UA"/>
        </w:rPr>
        <w:t>7</w:t>
      </w:r>
    </w:p>
    <w:p w14:paraId="5B441515" w14:textId="77777777" w:rsidR="00C515AA" w:rsidRPr="00781A34" w:rsidRDefault="00C515AA" w:rsidP="00C515A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01820"/>
          <w:sz w:val="24"/>
          <w:szCs w:val="24"/>
          <w:lang w:eastAsia="uk-UA"/>
        </w:rPr>
      </w:pPr>
      <w:proofErr w:type="spellStart"/>
      <w:r w:rsidRPr="00781A34">
        <w:rPr>
          <w:rFonts w:eastAsia="Times New Roman" w:cstheme="minorHAnsi"/>
          <w:color w:val="101820"/>
          <w:sz w:val="24"/>
          <w:szCs w:val="24"/>
          <w:lang w:eastAsia="uk-UA"/>
        </w:rPr>
        <w:t>ел</w:t>
      </w:r>
      <w:proofErr w:type="spellEnd"/>
      <w:r w:rsidRPr="00781A34">
        <w:rPr>
          <w:rFonts w:eastAsia="Times New Roman" w:cstheme="minorHAnsi"/>
          <w:color w:val="101820"/>
          <w:sz w:val="24"/>
          <w:szCs w:val="24"/>
          <w:lang w:eastAsia="uk-UA"/>
        </w:rPr>
        <w:t>. пошта: </w:t>
      </w:r>
      <w:hyperlink r:id="rId4" w:history="1">
        <w:r w:rsidRPr="00781A34">
          <w:rPr>
            <w:rFonts w:eastAsia="Times New Roman" w:cstheme="minorHAnsi"/>
            <w:color w:val="FF8200"/>
            <w:sz w:val="24"/>
            <w:szCs w:val="24"/>
            <w:u w:val="single"/>
            <w:lang w:eastAsia="uk-UA"/>
          </w:rPr>
          <w:t>info@naftogazteplo.com.ua</w:t>
        </w:r>
      </w:hyperlink>
    </w:p>
    <w:p w14:paraId="5DE99B12" w14:textId="77777777" w:rsidR="00C515AA" w:rsidRPr="00781A34" w:rsidRDefault="00C515AA" w:rsidP="00C515A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01820"/>
          <w:sz w:val="24"/>
          <w:szCs w:val="24"/>
          <w:lang w:eastAsia="uk-UA"/>
        </w:rPr>
      </w:pPr>
      <w:r w:rsidRPr="00781A34">
        <w:rPr>
          <w:rFonts w:eastAsia="Times New Roman" w:cstheme="minorHAnsi"/>
          <w:color w:val="101820"/>
          <w:sz w:val="24"/>
          <w:szCs w:val="24"/>
          <w:lang w:eastAsia="uk-UA"/>
        </w:rPr>
        <w:t>веб-сайт: </w:t>
      </w:r>
      <w:hyperlink r:id="rId5" w:history="1">
        <w:r w:rsidRPr="00781A34">
          <w:rPr>
            <w:rFonts w:eastAsia="Times New Roman" w:cstheme="minorHAnsi"/>
            <w:color w:val="FF8200"/>
            <w:sz w:val="24"/>
            <w:szCs w:val="24"/>
            <w:u w:val="single"/>
            <w:lang w:eastAsia="uk-UA"/>
          </w:rPr>
          <w:t>www.naftogazteplo.com.ua</w:t>
        </w:r>
      </w:hyperlink>
    </w:p>
    <w:p w14:paraId="65EEF693" w14:textId="77777777" w:rsidR="00C515AA" w:rsidRPr="00781A34" w:rsidRDefault="00C515AA" w:rsidP="00C515A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01820"/>
          <w:sz w:val="24"/>
          <w:szCs w:val="24"/>
          <w:lang w:eastAsia="uk-UA"/>
        </w:rPr>
      </w:pPr>
      <w:r w:rsidRPr="00781A34">
        <w:rPr>
          <w:rFonts w:eastAsia="Times New Roman" w:cstheme="minorHAnsi"/>
          <w:color w:val="101820"/>
          <w:sz w:val="24"/>
          <w:szCs w:val="24"/>
          <w:lang w:eastAsia="uk-UA"/>
        </w:rPr>
        <w:t>Розклад роботи абонентського відділу:</w:t>
      </w:r>
    </w:p>
    <w:p w14:paraId="1B765AF8" w14:textId="5F15AA99" w:rsidR="00C515AA" w:rsidRPr="00781A34" w:rsidRDefault="00C515AA" w:rsidP="00C515A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01820"/>
          <w:sz w:val="24"/>
          <w:szCs w:val="24"/>
          <w:lang w:eastAsia="uk-UA"/>
        </w:rPr>
      </w:pPr>
      <w:r w:rsidRPr="00781A34">
        <w:rPr>
          <w:rFonts w:eastAsia="Times New Roman" w:cstheme="minorHAnsi"/>
          <w:color w:val="101820"/>
          <w:sz w:val="24"/>
          <w:szCs w:val="24"/>
          <w:lang w:eastAsia="uk-UA"/>
        </w:rPr>
        <w:t>пн-</w:t>
      </w:r>
      <w:r w:rsidR="002559C2">
        <w:rPr>
          <w:rFonts w:eastAsia="Times New Roman" w:cstheme="minorHAnsi"/>
          <w:color w:val="101820"/>
          <w:sz w:val="24"/>
          <w:szCs w:val="24"/>
          <w:lang w:eastAsia="uk-UA"/>
        </w:rPr>
        <w:t>пт</w:t>
      </w:r>
      <w:r w:rsidRPr="00781A34">
        <w:rPr>
          <w:rFonts w:eastAsia="Times New Roman" w:cstheme="minorHAnsi"/>
          <w:color w:val="101820"/>
          <w:sz w:val="24"/>
          <w:szCs w:val="24"/>
          <w:lang w:eastAsia="uk-UA"/>
        </w:rPr>
        <w:t>: 08.00-17.00</w:t>
      </w:r>
    </w:p>
    <w:p w14:paraId="09ECD04C" w14:textId="77777777" w:rsidR="00F64490" w:rsidRPr="00781A34" w:rsidRDefault="00C515AA" w:rsidP="00C515A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01820"/>
          <w:sz w:val="24"/>
          <w:szCs w:val="24"/>
          <w:lang w:eastAsia="uk-UA"/>
        </w:rPr>
      </w:pPr>
      <w:r w:rsidRPr="00781A34">
        <w:rPr>
          <w:rFonts w:eastAsia="Times New Roman" w:cstheme="minorHAnsi"/>
          <w:color w:val="101820"/>
          <w:sz w:val="24"/>
          <w:szCs w:val="24"/>
          <w:lang w:eastAsia="uk-UA"/>
        </w:rPr>
        <w:t>перерва: 12.00-13.00</w:t>
      </w:r>
    </w:p>
    <w:p w14:paraId="79640618" w14:textId="5F37ED0C" w:rsidR="00C515AA" w:rsidRPr="00781A34" w:rsidRDefault="00C515AA" w:rsidP="00C515A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01820"/>
          <w:sz w:val="24"/>
          <w:szCs w:val="24"/>
          <w:lang w:eastAsia="uk-UA"/>
        </w:rPr>
      </w:pPr>
      <w:r w:rsidRPr="00781A34">
        <w:rPr>
          <w:rFonts w:eastAsia="Times New Roman" w:cstheme="minorHAnsi"/>
          <w:color w:val="101820"/>
          <w:sz w:val="24"/>
          <w:szCs w:val="24"/>
          <w:lang w:eastAsia="uk-UA"/>
        </w:rPr>
        <w:t>вихідні дні: сб, нд</w:t>
      </w:r>
    </w:p>
    <w:p w14:paraId="2D1CD621" w14:textId="77777777" w:rsidR="00670423" w:rsidRPr="00781A34" w:rsidRDefault="00670423" w:rsidP="00C515AA">
      <w:pPr>
        <w:jc w:val="both"/>
        <w:rPr>
          <w:rFonts w:cstheme="minorHAnsi"/>
          <w:sz w:val="24"/>
          <w:szCs w:val="24"/>
        </w:rPr>
      </w:pPr>
    </w:p>
    <w:sectPr w:rsidR="00670423" w:rsidRPr="00781A34" w:rsidSect="00E76CB9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AA"/>
    <w:rsid w:val="00020F7E"/>
    <w:rsid w:val="002559C2"/>
    <w:rsid w:val="00334209"/>
    <w:rsid w:val="004133C9"/>
    <w:rsid w:val="00426CAD"/>
    <w:rsid w:val="00564DD6"/>
    <w:rsid w:val="00623080"/>
    <w:rsid w:val="00670423"/>
    <w:rsid w:val="00781A34"/>
    <w:rsid w:val="009106E7"/>
    <w:rsid w:val="009342B1"/>
    <w:rsid w:val="00C515AA"/>
    <w:rsid w:val="00CA4630"/>
    <w:rsid w:val="00CC6E7D"/>
    <w:rsid w:val="00E436A9"/>
    <w:rsid w:val="00E76CB9"/>
    <w:rsid w:val="00F6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B2A6"/>
  <w15:chartTrackingRefBased/>
  <w15:docId w15:val="{07029CEE-EBAD-41B8-B966-291458C4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36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15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5A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C5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C515A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43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6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ftogazteplo.com.ua/" TargetMode="External"/><Relationship Id="rId4" Type="http://schemas.openxmlformats.org/officeDocument/2006/relationships/hyperlink" Target="mailto:info@naftogazteplo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Овечкіна Наталія Григорівна</dc:creator>
  <cp:keywords/>
  <dc:description/>
  <cp:lastModifiedBy>Денисенко Вікторія Тарасівна</cp:lastModifiedBy>
  <cp:revision>2</cp:revision>
  <dcterms:created xsi:type="dcterms:W3CDTF">2023-03-02T12:07:00Z</dcterms:created>
  <dcterms:modified xsi:type="dcterms:W3CDTF">2023-03-02T12:07:00Z</dcterms:modified>
</cp:coreProperties>
</file>