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4208C" w14:textId="262C9224" w:rsidR="00A90E2A" w:rsidRPr="00A90E2A" w:rsidRDefault="00A90E2A" w:rsidP="00A90E2A">
      <w:pPr>
        <w:pStyle w:val="rvps2"/>
        <w:shd w:val="clear" w:color="auto" w:fill="FFFFFF"/>
        <w:spacing w:before="0" w:beforeAutospacing="0" w:after="150" w:afterAutospacing="0"/>
        <w:ind w:firstLine="450"/>
        <w:jc w:val="both"/>
        <w:rPr>
          <w:b/>
          <w:bCs/>
          <w:color w:val="333333"/>
          <w:u w:val="single"/>
        </w:rPr>
      </w:pPr>
      <w:bookmarkStart w:id="0" w:name="n4466"/>
      <w:bookmarkStart w:id="1" w:name="n3903"/>
      <w:bookmarkEnd w:id="0"/>
      <w:bookmarkEnd w:id="1"/>
      <w:r w:rsidRPr="00EE52CD">
        <w:rPr>
          <w:b/>
          <w:bCs/>
          <w:color w:val="333333"/>
          <w:u w:val="single"/>
        </w:rPr>
        <w:t>До заяви про приєднання додаються такі документи:</w:t>
      </w:r>
    </w:p>
    <w:p w14:paraId="79E17F2F"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2" w:name="n3904"/>
      <w:bookmarkEnd w:id="2"/>
      <w:r>
        <w:rPr>
          <w:color w:val="333333"/>
        </w:rPr>
        <w:t>1) копія паспорта у разі відсутності унікального номера запису в Єдиному державному демографічному реєстрі (для фізичних осіб);</w:t>
      </w:r>
    </w:p>
    <w:p w14:paraId="5AD93698"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3" w:name="n3905"/>
      <w:bookmarkEnd w:id="3"/>
      <w:r>
        <w:rPr>
          <w:color w:val="333333"/>
        </w:rPr>
        <w:t>2) належним чином оформлений документ, що посвідчує право на представництво інтересів особи у випадку подання заяви представником;</w:t>
      </w:r>
    </w:p>
    <w:p w14:paraId="5A103D42"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4" w:name="n3906"/>
      <w:bookmarkEnd w:id="4"/>
      <w:r>
        <w:rPr>
          <w:color w:val="333333"/>
        </w:rPr>
        <w:t>3) копія документа, що підтверджує право власності чи користування об’єктом нерухомого майна у разі відсутності відомостей у Державному реєстрі речових прав на нерухоме майно;</w:t>
      </w:r>
    </w:p>
    <w:p w14:paraId="3C0AF73A"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5" w:name="n3907"/>
      <w:bookmarkEnd w:id="5"/>
      <w:r>
        <w:rPr>
          <w:color w:val="333333"/>
        </w:rPr>
        <w:t>4) графічні матеріали із зазначенням згідно з вимогами цього пункту Кодексу місця розташування об'єкта (об'єктів) замовника, земельної ділянки замовника та прогнозованої точки приєднання (для об'єктів, що приєднуються до електричних мереж уперше);</w:t>
      </w:r>
    </w:p>
    <w:p w14:paraId="27F7AA07"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6" w:name="n5503"/>
      <w:bookmarkStart w:id="7" w:name="n3908"/>
      <w:bookmarkEnd w:id="6"/>
      <w:bookmarkEnd w:id="7"/>
      <w:r>
        <w:rPr>
          <w:color w:val="333333"/>
        </w:rPr>
        <w:t>5) техніко-економічне обґрунтування (у визначених цим Кодексом випадках, в інших випадках - за наявності);</w:t>
      </w:r>
    </w:p>
    <w:p w14:paraId="6342A216"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8" w:name="n4881"/>
      <w:bookmarkEnd w:id="8"/>
      <w:r>
        <w:rPr>
          <w:color w:val="333333"/>
        </w:rPr>
        <w:t>6) розрахунок навантаження об’єкта архітектури за підписом головного інженера-</w:t>
      </w:r>
      <w:proofErr w:type="spellStart"/>
      <w:r>
        <w:rPr>
          <w:color w:val="333333"/>
        </w:rPr>
        <w:t>проєктувальника</w:t>
      </w:r>
      <w:proofErr w:type="spellEnd"/>
      <w:r>
        <w:rPr>
          <w:color w:val="333333"/>
        </w:rPr>
        <w:t xml:space="preserve"> (у разі нового приєднання багатоквартирного житлового будинку) або розроблена </w:t>
      </w:r>
      <w:proofErr w:type="spellStart"/>
      <w:r>
        <w:rPr>
          <w:color w:val="333333"/>
        </w:rPr>
        <w:t>проєктна</w:t>
      </w:r>
      <w:proofErr w:type="spellEnd"/>
      <w:r>
        <w:rPr>
          <w:color w:val="333333"/>
        </w:rPr>
        <w:t xml:space="preserve"> документація на внутрішні електричні мережі багатоквартирного житлового будинку з урахуванням величини замовленої до приєднання потужності електроустановок замовника, що є частиною об'єкта архітектури (у разі збільшення потужності багатоквартирного житлового будинку), в частині об’єкта приєднання;</w:t>
      </w:r>
    </w:p>
    <w:p w14:paraId="577E5D01"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9" w:name="n4882"/>
      <w:bookmarkStart w:id="10" w:name="n3909"/>
      <w:bookmarkEnd w:id="9"/>
      <w:bookmarkEnd w:id="10"/>
      <w:r>
        <w:rPr>
          <w:color w:val="333333"/>
        </w:rPr>
        <w:t>7) інформаційна довідка-повідомлення (довільної форми) щодо наявності або відсутності намірів брати участь в аукціоні з розподілу річної квоти підтримки (для суб’єктів господарювання - виробників ВДЕ).</w:t>
      </w:r>
    </w:p>
    <w:p w14:paraId="3BF889B6"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11" w:name="n4883"/>
      <w:bookmarkStart w:id="12" w:name="n3910"/>
      <w:bookmarkEnd w:id="11"/>
      <w:bookmarkEnd w:id="12"/>
      <w:r>
        <w:rPr>
          <w:color w:val="333333"/>
        </w:rPr>
        <w:t>Приєднання об’єкта нерухомого майна до електричних мереж ОСР за тимчасовою схемою, за відсутності на ньому введеного в установленому порядку об’єкта архітектури, здійснюється лише на період будівництва.</w:t>
      </w:r>
    </w:p>
    <w:p w14:paraId="48C7DB97"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13" w:name="n3911"/>
      <w:bookmarkEnd w:id="13"/>
      <w:r w:rsidRPr="00A90E2A">
        <w:rPr>
          <w:b/>
          <w:bCs/>
          <w:color w:val="333333"/>
          <w:u w:val="single"/>
        </w:rPr>
        <w:t>У разі приєднання фотоелектричної станції/УЗЕ/</w:t>
      </w:r>
      <w:proofErr w:type="spellStart"/>
      <w:r w:rsidRPr="00A90E2A">
        <w:rPr>
          <w:b/>
          <w:bCs/>
          <w:color w:val="333333"/>
          <w:u w:val="single"/>
        </w:rPr>
        <w:t>електрозарядної</w:t>
      </w:r>
      <w:proofErr w:type="spellEnd"/>
      <w:r w:rsidRPr="00A90E2A">
        <w:rPr>
          <w:b/>
          <w:bCs/>
          <w:color w:val="333333"/>
          <w:u w:val="single"/>
        </w:rPr>
        <w:t xml:space="preserve"> станції</w:t>
      </w:r>
      <w:r>
        <w:rPr>
          <w:color w:val="333333"/>
        </w:rPr>
        <w:t>, що розташована на об'єкті архітектури (дах, фасад тощо), технічних засобів електронних комунікацій на об’єкті архітектури до заяви про приєднання додаються:</w:t>
      </w:r>
    </w:p>
    <w:p w14:paraId="52397DE7"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14" w:name="n4467"/>
      <w:bookmarkStart w:id="15" w:name="n3912"/>
      <w:bookmarkEnd w:id="14"/>
      <w:bookmarkEnd w:id="15"/>
      <w:r>
        <w:rPr>
          <w:color w:val="333333"/>
        </w:rPr>
        <w:t>1) копія документа, що підтверджує право власності чи користування об'єктом архітектури або право власності чи користування частиною об'єкта архітектури (дах, фасад тощо) (у разі приєднання фотоелектричної станції/УЗЕ/</w:t>
      </w:r>
      <w:proofErr w:type="spellStart"/>
      <w:r>
        <w:rPr>
          <w:color w:val="333333"/>
        </w:rPr>
        <w:t>електрозарядної</w:t>
      </w:r>
      <w:proofErr w:type="spellEnd"/>
      <w:r>
        <w:rPr>
          <w:color w:val="333333"/>
        </w:rPr>
        <w:t xml:space="preserve"> станції);</w:t>
      </w:r>
    </w:p>
    <w:p w14:paraId="4D3BA498"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16" w:name="n4468"/>
      <w:bookmarkStart w:id="17" w:name="n3913"/>
      <w:bookmarkEnd w:id="16"/>
      <w:bookmarkEnd w:id="17"/>
      <w:r>
        <w:rPr>
          <w:color w:val="333333"/>
        </w:rPr>
        <w:t>2) копія договору з доступу (у випадку приєднання технічних засобів електронних комунікацій відповідно до </w:t>
      </w:r>
      <w:hyperlink r:id="rId4" w:anchor="n3" w:tgtFrame="_blank" w:history="1">
        <w:r>
          <w:rPr>
            <w:rStyle w:val="ae"/>
            <w:rFonts w:eastAsiaTheme="majorEastAsia"/>
            <w:color w:val="000099"/>
          </w:rPr>
          <w:t>Закону України</w:t>
        </w:r>
      </w:hyperlink>
      <w:r>
        <w:rPr>
          <w:color w:val="333333"/>
        </w:rPr>
        <w:t> «Про доступ до об’єктів будівництва, транспорту, електроенергетики з метою розвитку телекомунікаційних мереж»);</w:t>
      </w:r>
    </w:p>
    <w:p w14:paraId="04262C86"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18" w:name="n3914"/>
      <w:bookmarkEnd w:id="18"/>
      <w:r>
        <w:rPr>
          <w:color w:val="333333"/>
        </w:rPr>
        <w:t>3) графічні матеріали із зазначенням (вказанням) місця розташування об'єкта (об'єктів) замовника, земельної ділянки замовника та прогнозованої точки приєднання (для об'єктів, що приєднуються до електричних мереж уперше);</w:t>
      </w:r>
    </w:p>
    <w:p w14:paraId="4786B7DE"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19" w:name="n3915"/>
      <w:bookmarkEnd w:id="19"/>
      <w:r>
        <w:rPr>
          <w:color w:val="333333"/>
        </w:rPr>
        <w:t xml:space="preserve">4) лист-погодження від власника об'єкта архітектури, на якому буде здійснено будівництво та експлуатацію фотоелектричної станції, УЗЕ, </w:t>
      </w:r>
      <w:proofErr w:type="spellStart"/>
      <w:r>
        <w:rPr>
          <w:color w:val="333333"/>
        </w:rPr>
        <w:t>електрозарядної</w:t>
      </w:r>
      <w:proofErr w:type="spellEnd"/>
      <w:r>
        <w:rPr>
          <w:color w:val="333333"/>
        </w:rPr>
        <w:t xml:space="preserve"> станції, технічних засобів електронних комунікацій, щодо надання дозволу на улаштування точки приєднання на межі земельної ділянки власника об'єкта архітектури, на якому буде розташована відповідна фотоелектрична станція, УЗЕ, </w:t>
      </w:r>
      <w:proofErr w:type="spellStart"/>
      <w:r>
        <w:rPr>
          <w:color w:val="333333"/>
        </w:rPr>
        <w:t>електрозарядна</w:t>
      </w:r>
      <w:proofErr w:type="spellEnd"/>
      <w:r>
        <w:rPr>
          <w:color w:val="333333"/>
        </w:rPr>
        <w:t xml:space="preserve"> станція, технічні засоби електронних комунікацій.</w:t>
      </w:r>
    </w:p>
    <w:p w14:paraId="7A324235"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20" w:name="n4469"/>
      <w:bookmarkStart w:id="21" w:name="n3916"/>
      <w:bookmarkEnd w:id="20"/>
      <w:bookmarkEnd w:id="21"/>
      <w:r>
        <w:rPr>
          <w:color w:val="333333"/>
        </w:rPr>
        <w:t>Точка приєднання фотоелектричної станції/УЗЕ/</w:t>
      </w:r>
      <w:proofErr w:type="spellStart"/>
      <w:r>
        <w:rPr>
          <w:color w:val="333333"/>
        </w:rPr>
        <w:t>електрозарядної</w:t>
      </w:r>
      <w:proofErr w:type="spellEnd"/>
      <w:r>
        <w:rPr>
          <w:color w:val="333333"/>
        </w:rPr>
        <w:t xml:space="preserve"> станції, що розташована на об'єкті архітектури (дах, фасад тощо), технічних засобів електронних комунікацій має бути розташована на межі земельної ділянки власника об'єкта архітектури, на якому буде розташована відповідна фотоелектрична станція, технічні засоби електронних комунікацій.</w:t>
      </w:r>
    </w:p>
    <w:p w14:paraId="583C92D6"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22" w:name="n4470"/>
      <w:bookmarkStart w:id="23" w:name="n4135"/>
      <w:bookmarkEnd w:id="22"/>
      <w:bookmarkEnd w:id="23"/>
      <w:r w:rsidRPr="00A90E2A">
        <w:rPr>
          <w:b/>
          <w:bCs/>
          <w:color w:val="333333"/>
          <w:u w:val="single"/>
        </w:rPr>
        <w:lastRenderedPageBreak/>
        <w:t>У разі наміру приєднання індустріального парку</w:t>
      </w:r>
      <w:r>
        <w:rPr>
          <w:color w:val="333333"/>
        </w:rPr>
        <w:t>, створеного відповідно до вимог законодавства, або МСР (електричних мереж, що можуть бути класифіковані як МСР), створеної на території індустріального парку (суміжних індустріальних парків) замовником послуги з приєднання індустріального парку, або замовником послуги з приєднання МСР додатково до заяви додаються:</w:t>
      </w:r>
    </w:p>
    <w:p w14:paraId="16DC76B2"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24" w:name="n4136"/>
      <w:bookmarkStart w:id="25" w:name="n3918"/>
      <w:bookmarkEnd w:id="24"/>
      <w:bookmarkEnd w:id="25"/>
      <w:r>
        <w:rPr>
          <w:color w:val="333333"/>
        </w:rPr>
        <w:t>1) копія витягу з Реєстру індустріальних (промислових) парків або інформація про рішення Кабінету Міністрів України про включення індустріального парку (суміжних індустріальних парків) до Реєстру індустріальних (промислових) парків;</w:t>
      </w:r>
    </w:p>
    <w:p w14:paraId="10FEFAF1"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26" w:name="n5049"/>
      <w:bookmarkStart w:id="27" w:name="n4473"/>
      <w:bookmarkEnd w:id="26"/>
      <w:bookmarkEnd w:id="27"/>
      <w:r>
        <w:rPr>
          <w:color w:val="333333"/>
        </w:rPr>
        <w:t>2) копія договору про створення та функціонування індустріального парку (якщо замовником послуги з приєднання індустріального парку або МСР є керуюча компанія індустріального парку). Для суміжних індустріальних парків копії договорів про створення та функціонування індустріального парку надається для кожного такого індустріального парку;</w:t>
      </w:r>
    </w:p>
    <w:p w14:paraId="5A5CF524"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28" w:name="n4140"/>
      <w:bookmarkStart w:id="29" w:name="n3920"/>
      <w:bookmarkEnd w:id="28"/>
      <w:bookmarkEnd w:id="29"/>
      <w:r>
        <w:rPr>
          <w:color w:val="333333"/>
        </w:rPr>
        <w:t>3) копія договору про здійснення господарської діяльності в межах індустріального парку, якщо замовником послуги з приєднання індустріального парку або МСР на території індустріального парку (суміжних індустріальних парків) є інший суб’єкт індустріального парку.</w:t>
      </w:r>
    </w:p>
    <w:p w14:paraId="06E19507"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30" w:name="n4141"/>
      <w:bookmarkStart w:id="31" w:name="n5051"/>
      <w:bookmarkEnd w:id="30"/>
      <w:bookmarkEnd w:id="31"/>
      <w:r>
        <w:rPr>
          <w:color w:val="333333"/>
        </w:rPr>
        <w:t>У разі наміру приєднання МСР (електричних мереж, що можуть бути класифіковані як МСР), створеної на обмеженій території об’єкта та/або земельної ділянки замовником послуги з приєднання МСР додатково до заяви додаються графічні матеріали (в довільній формі) із позначенням обмеженої території об’єкта та/або земельної ділянки, на якій має намір створитися МСР.</w:t>
      </w:r>
    </w:p>
    <w:p w14:paraId="15E7D749"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32" w:name="n5053"/>
      <w:bookmarkStart w:id="33" w:name="n3921"/>
      <w:bookmarkEnd w:id="32"/>
      <w:bookmarkEnd w:id="33"/>
      <w:r>
        <w:rPr>
          <w:color w:val="333333"/>
        </w:rPr>
        <w:t>У разі приєднання до електричних мереж суб'єкта господарювання згідно з пунктом </w:t>
      </w:r>
      <w:hyperlink r:id="rId5" w:anchor="n2184" w:history="1">
        <w:r>
          <w:rPr>
            <w:rStyle w:val="ae"/>
            <w:rFonts w:eastAsiaTheme="majorEastAsia"/>
            <w:color w:val="006600"/>
          </w:rPr>
          <w:t>4.1.11</w:t>
        </w:r>
      </w:hyperlink>
      <w:r>
        <w:rPr>
          <w:color w:val="333333"/>
        </w:rPr>
        <w:t> глави 4.1 цього розділу до заяви про приєднання додаються технічні вимоги та/або вихідні дані, отримані від суб'єкта господарювання.</w:t>
      </w:r>
    </w:p>
    <w:p w14:paraId="7A3ACA3B"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34" w:name="n5505"/>
      <w:bookmarkEnd w:id="34"/>
      <w:r>
        <w:rPr>
          <w:color w:val="333333"/>
        </w:rPr>
        <w:t xml:space="preserve">У разі приєднання електроустановок виробника електричної енергії (суб’єкта господарювання, що має намір виробляти електричну енергію) – замовника послуги з приєднання до технологічних мереж внутрішнього електрозабезпечення іншого виробника електричної енергії згідно з пунктом 4.1.7.2 пункту 4.1.7 глави 4.1 цього розділу замовником до заяви про приєднання додатково додається договір щодо користування </w:t>
      </w:r>
      <w:proofErr w:type="spellStart"/>
      <w:r>
        <w:rPr>
          <w:color w:val="333333"/>
        </w:rPr>
        <w:t>субвиробником</w:t>
      </w:r>
      <w:proofErr w:type="spellEnd"/>
      <w:r>
        <w:rPr>
          <w:color w:val="333333"/>
        </w:rPr>
        <w:t xml:space="preserve"> технологічних мереж внутрішнього електрозабезпечення основного виробника.</w:t>
      </w:r>
    </w:p>
    <w:p w14:paraId="4579D1B0"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35" w:name="n5515"/>
      <w:bookmarkStart w:id="36" w:name="n5506"/>
      <w:bookmarkEnd w:id="35"/>
      <w:bookmarkEnd w:id="36"/>
      <w:r>
        <w:rPr>
          <w:color w:val="333333"/>
        </w:rPr>
        <w:t>Замовником на графічних матеріалах (у разі необхідності їх подання) має бути зазначено:</w:t>
      </w:r>
    </w:p>
    <w:p w14:paraId="36C1073B"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37" w:name="n5514"/>
      <w:bookmarkStart w:id="38" w:name="n5507"/>
      <w:bookmarkEnd w:id="37"/>
      <w:bookmarkEnd w:id="38"/>
      <w:r>
        <w:rPr>
          <w:color w:val="333333"/>
        </w:rPr>
        <w:t>схематичне розташування земельної ділянки (геометрична форма земельної ділянки);</w:t>
      </w:r>
    </w:p>
    <w:p w14:paraId="6365562F"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39" w:name="n5513"/>
      <w:bookmarkStart w:id="40" w:name="n5508"/>
      <w:bookmarkEnd w:id="39"/>
      <w:bookmarkEnd w:id="40"/>
      <w:r>
        <w:rPr>
          <w:color w:val="333333"/>
        </w:rPr>
        <w:t>місце розташування об’єкта замовника (крапка, геометричний символ тощо) із наявністю відповідного підпису;</w:t>
      </w:r>
    </w:p>
    <w:p w14:paraId="6F8600AB"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41" w:name="n5512"/>
      <w:bookmarkStart w:id="42" w:name="n5509"/>
      <w:bookmarkEnd w:id="41"/>
      <w:bookmarkEnd w:id="42"/>
      <w:r>
        <w:rPr>
          <w:color w:val="333333"/>
        </w:rPr>
        <w:t xml:space="preserve">прогнозованої точки приєднання (місця, де буде визначено межу балансової належності) (крапка, геометричний символ тощо) із наявністю відповідного підпису. У разі приєднання багатоквартирного житлового будинку (комплексу) – прогнозованої точки (точок), у місцях розташування </w:t>
      </w:r>
      <w:proofErr w:type="spellStart"/>
      <w:r>
        <w:rPr>
          <w:color w:val="333333"/>
        </w:rPr>
        <w:t>ввідно</w:t>
      </w:r>
      <w:proofErr w:type="spellEnd"/>
      <w:r>
        <w:rPr>
          <w:color w:val="333333"/>
        </w:rPr>
        <w:t xml:space="preserve">-розподільчих пристроїв будинку на напрузі до 1 кВ з розподіленням потужності по цих </w:t>
      </w:r>
      <w:proofErr w:type="spellStart"/>
      <w:r>
        <w:rPr>
          <w:color w:val="333333"/>
        </w:rPr>
        <w:t>ввідно</w:t>
      </w:r>
      <w:proofErr w:type="spellEnd"/>
      <w:r>
        <w:rPr>
          <w:color w:val="333333"/>
        </w:rPr>
        <w:t>-розподільчих пристроях.</w:t>
      </w:r>
    </w:p>
    <w:p w14:paraId="32EC1855"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43" w:name="n5511"/>
      <w:bookmarkStart w:id="44" w:name="n5510"/>
      <w:bookmarkEnd w:id="43"/>
      <w:bookmarkEnd w:id="44"/>
      <w:r>
        <w:rPr>
          <w:color w:val="333333"/>
        </w:rPr>
        <w:t>Висунення ОСР інших вимог до графічних матеріалів, не передбачених цим пунктом, не допускається.</w:t>
      </w:r>
    </w:p>
    <w:p w14:paraId="6C53E51E"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45" w:name="n5504"/>
      <w:bookmarkStart w:id="46" w:name="n3922"/>
      <w:bookmarkEnd w:id="45"/>
      <w:bookmarkEnd w:id="46"/>
      <w:r>
        <w:rPr>
          <w:color w:val="333333"/>
        </w:rPr>
        <w:t>Відповідальність за достовірність даних, наданих у заяві, несе замовник.</w:t>
      </w:r>
    </w:p>
    <w:p w14:paraId="6989A143" w14:textId="77777777" w:rsidR="00A90E2A" w:rsidRDefault="00A90E2A" w:rsidP="00A90E2A">
      <w:pPr>
        <w:pStyle w:val="rvps2"/>
        <w:shd w:val="clear" w:color="auto" w:fill="FFFFFF"/>
        <w:spacing w:before="0" w:beforeAutospacing="0" w:after="150" w:afterAutospacing="0"/>
        <w:ind w:firstLine="450"/>
        <w:jc w:val="both"/>
        <w:rPr>
          <w:color w:val="333333"/>
        </w:rPr>
      </w:pPr>
      <w:bookmarkStart w:id="47" w:name="n3923"/>
      <w:bookmarkEnd w:id="47"/>
      <w:r>
        <w:rPr>
          <w:color w:val="333333"/>
        </w:rPr>
        <w:t>ОСР забороняється вимагати інші документи, не передбачені цим Кодексом.</w:t>
      </w:r>
    </w:p>
    <w:p w14:paraId="13437552" w14:textId="37AF3FCA" w:rsidR="00A90E2A" w:rsidRDefault="00A90E2A" w:rsidP="00C754E9">
      <w:pPr>
        <w:pStyle w:val="rvps2"/>
        <w:shd w:val="clear" w:color="auto" w:fill="FFFFFF"/>
        <w:spacing w:before="0" w:beforeAutospacing="0" w:after="150" w:afterAutospacing="0"/>
        <w:ind w:firstLine="450"/>
        <w:jc w:val="both"/>
      </w:pPr>
      <w:bookmarkStart w:id="48" w:name="n4476"/>
      <w:bookmarkEnd w:id="48"/>
      <w:r>
        <w:rPr>
          <w:color w:val="333333"/>
        </w:rPr>
        <w:t>У разі приєднання багатоквартирного житлового будинку або збільшення його потужності до заяви додається розрахунок навантаження об'єкта архітектури за підписом головного інженера-</w:t>
      </w:r>
      <w:proofErr w:type="spellStart"/>
      <w:r>
        <w:rPr>
          <w:color w:val="333333"/>
        </w:rPr>
        <w:t>проєктувальника</w:t>
      </w:r>
      <w:proofErr w:type="spellEnd"/>
      <w:r>
        <w:rPr>
          <w:color w:val="333333"/>
        </w:rPr>
        <w:t>.</w:t>
      </w:r>
      <w:bookmarkStart w:id="49" w:name="n4477"/>
      <w:bookmarkStart w:id="50" w:name="n3559"/>
      <w:bookmarkEnd w:id="49"/>
      <w:bookmarkEnd w:id="50"/>
    </w:p>
    <w:sectPr w:rsidR="00A90E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2A"/>
    <w:rsid w:val="00167F89"/>
    <w:rsid w:val="002A5999"/>
    <w:rsid w:val="00321F4A"/>
    <w:rsid w:val="0036097F"/>
    <w:rsid w:val="007551D6"/>
    <w:rsid w:val="00810CD6"/>
    <w:rsid w:val="00A90E2A"/>
    <w:rsid w:val="00BF2A29"/>
    <w:rsid w:val="00C60D92"/>
    <w:rsid w:val="00C754E9"/>
    <w:rsid w:val="00EE52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C9ED"/>
  <w15:chartTrackingRefBased/>
  <w15:docId w15:val="{B9E8A392-1D2F-4590-9A22-B61AFF7F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0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0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0E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0E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0E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0E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0E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0E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0E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E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0E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0E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0E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0E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0E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0E2A"/>
    <w:rPr>
      <w:rFonts w:eastAsiaTheme="majorEastAsia" w:cstheme="majorBidi"/>
      <w:color w:val="595959" w:themeColor="text1" w:themeTint="A6"/>
    </w:rPr>
  </w:style>
  <w:style w:type="character" w:customStyle="1" w:styleId="80">
    <w:name w:val="Заголовок 8 Знак"/>
    <w:basedOn w:val="a0"/>
    <w:link w:val="8"/>
    <w:uiPriority w:val="9"/>
    <w:semiHidden/>
    <w:rsid w:val="00A90E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0E2A"/>
    <w:rPr>
      <w:rFonts w:eastAsiaTheme="majorEastAsia" w:cstheme="majorBidi"/>
      <w:color w:val="272727" w:themeColor="text1" w:themeTint="D8"/>
    </w:rPr>
  </w:style>
  <w:style w:type="paragraph" w:styleId="a3">
    <w:name w:val="Title"/>
    <w:basedOn w:val="a"/>
    <w:next w:val="a"/>
    <w:link w:val="a4"/>
    <w:uiPriority w:val="10"/>
    <w:qFormat/>
    <w:rsid w:val="00A90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90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E2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90E2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90E2A"/>
    <w:pPr>
      <w:spacing w:before="160"/>
      <w:jc w:val="center"/>
    </w:pPr>
    <w:rPr>
      <w:i/>
      <w:iCs/>
      <w:color w:val="404040" w:themeColor="text1" w:themeTint="BF"/>
    </w:rPr>
  </w:style>
  <w:style w:type="character" w:customStyle="1" w:styleId="a8">
    <w:name w:val="Цитата Знак"/>
    <w:basedOn w:val="a0"/>
    <w:link w:val="a7"/>
    <w:uiPriority w:val="29"/>
    <w:rsid w:val="00A90E2A"/>
    <w:rPr>
      <w:i/>
      <w:iCs/>
      <w:color w:val="404040" w:themeColor="text1" w:themeTint="BF"/>
    </w:rPr>
  </w:style>
  <w:style w:type="paragraph" w:styleId="a9">
    <w:name w:val="List Paragraph"/>
    <w:basedOn w:val="a"/>
    <w:uiPriority w:val="34"/>
    <w:qFormat/>
    <w:rsid w:val="00A90E2A"/>
    <w:pPr>
      <w:ind w:left="720"/>
      <w:contextualSpacing/>
    </w:pPr>
  </w:style>
  <w:style w:type="character" w:styleId="aa">
    <w:name w:val="Intense Emphasis"/>
    <w:basedOn w:val="a0"/>
    <w:uiPriority w:val="21"/>
    <w:qFormat/>
    <w:rsid w:val="00A90E2A"/>
    <w:rPr>
      <w:i/>
      <w:iCs/>
      <w:color w:val="0F4761" w:themeColor="accent1" w:themeShade="BF"/>
    </w:rPr>
  </w:style>
  <w:style w:type="paragraph" w:styleId="ab">
    <w:name w:val="Intense Quote"/>
    <w:basedOn w:val="a"/>
    <w:next w:val="a"/>
    <w:link w:val="ac"/>
    <w:uiPriority w:val="30"/>
    <w:qFormat/>
    <w:rsid w:val="00A90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90E2A"/>
    <w:rPr>
      <w:i/>
      <w:iCs/>
      <w:color w:val="0F4761" w:themeColor="accent1" w:themeShade="BF"/>
    </w:rPr>
  </w:style>
  <w:style w:type="character" w:styleId="ad">
    <w:name w:val="Intense Reference"/>
    <w:basedOn w:val="a0"/>
    <w:uiPriority w:val="32"/>
    <w:qFormat/>
    <w:rsid w:val="00A90E2A"/>
    <w:rPr>
      <w:b/>
      <w:bCs/>
      <w:smallCaps/>
      <w:color w:val="0F4761" w:themeColor="accent1" w:themeShade="BF"/>
      <w:spacing w:val="5"/>
    </w:rPr>
  </w:style>
  <w:style w:type="paragraph" w:customStyle="1" w:styleId="rvps2">
    <w:name w:val="rvps2"/>
    <w:basedOn w:val="a"/>
    <w:rsid w:val="00A90E2A"/>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rvts46">
    <w:name w:val="rvts46"/>
    <w:basedOn w:val="a0"/>
    <w:rsid w:val="00A90E2A"/>
  </w:style>
  <w:style w:type="character" w:styleId="ae">
    <w:name w:val="Hyperlink"/>
    <w:basedOn w:val="a0"/>
    <w:uiPriority w:val="99"/>
    <w:semiHidden/>
    <w:unhideWhenUsed/>
    <w:rsid w:val="00A90E2A"/>
    <w:rPr>
      <w:color w:val="0000FF"/>
      <w:u w:val="single"/>
    </w:rPr>
  </w:style>
  <w:style w:type="character" w:customStyle="1" w:styleId="rvts11">
    <w:name w:val="rvts11"/>
    <w:basedOn w:val="a0"/>
    <w:rsid w:val="00A90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2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v0310874-18/paran2184" TargetMode="External"/><Relationship Id="rId4" Type="http://schemas.openxmlformats.org/officeDocument/2006/relationships/hyperlink" Target="https://zakon.rada.gov.ua/laws/show/1834-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4449</Words>
  <Characters>2536</Characters>
  <Application>Microsoft Office Word</Application>
  <DocSecurity>0</DocSecurity>
  <Lines>21</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Юров Сергій Олексійович</dc:creator>
  <cp:keywords/>
  <dc:description/>
  <cp:lastModifiedBy>Юров Сергій Олексійович</cp:lastModifiedBy>
  <cp:revision>6</cp:revision>
  <dcterms:created xsi:type="dcterms:W3CDTF">2025-08-26T06:35:00Z</dcterms:created>
  <dcterms:modified xsi:type="dcterms:W3CDTF">2025-11-10T08:52:00Z</dcterms:modified>
</cp:coreProperties>
</file>